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color w:val="ff675c"/>
        </w:rPr>
      </w:pPr>
      <w:r w:rsidDel="00000000" w:rsidR="00000000" w:rsidRPr="00000000">
        <w:rPr>
          <w:rFonts w:ascii="Space Grotesk" w:cs="Space Grotesk" w:eastAsia="Space Grotesk" w:hAnsi="Space Grotesk"/>
          <w:color w:val="6f8d8e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123825</wp:posOffset>
            </wp:positionV>
            <wp:extent cx="2438400" cy="914400"/>
            <wp:effectExtent b="0" l="0" r="0" t="0"/>
            <wp:wrapSquare wrapText="bothSides" distB="0" distT="0" distL="0" distR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2195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hyperlink r:id="rId7">
        <w:r w:rsidDel="00000000" w:rsidR="00000000" w:rsidRPr="00000000">
          <w:rPr>
            <w:color w:val="ff675c"/>
            <w:u w:val="single"/>
            <w:rtl w:val="0"/>
          </w:rPr>
          <w:t xml:space="preserve">pair-code.github.io/datacardsplaybook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Space Grotesk" w:cs="Space Grotesk" w:eastAsia="Space Grotesk" w:hAnsi="Space Grotesk"/>
          <w:color w:val="6f8d8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before="0" w:line="276" w:lineRule="auto"/>
        <w:rPr>
          <w:rFonts w:ascii="Space Grotesk" w:cs="Space Grotesk" w:eastAsia="Space Grotesk" w:hAnsi="Space Grotesk"/>
          <w:color w:val="19b2ba"/>
          <w:sz w:val="24"/>
          <w:szCs w:val="24"/>
        </w:rPr>
      </w:pPr>
      <w:r w:rsidDel="00000000" w:rsidR="00000000" w:rsidRPr="00000000">
        <w:rPr>
          <w:rFonts w:ascii="Space Grotesk" w:cs="Space Grotesk" w:eastAsia="Space Grotesk" w:hAnsi="Space Grotesk"/>
          <w:color w:val="6f8d8e"/>
          <w:sz w:val="24"/>
          <w:szCs w:val="24"/>
          <w:rtl w:val="0"/>
        </w:rPr>
        <w:t xml:space="preserve">MODULE</w:t>
      </w:r>
      <w:r w:rsidDel="00000000" w:rsidR="00000000" w:rsidRPr="00000000">
        <w:rPr>
          <w:rFonts w:ascii="Space Grotesk" w:cs="Space Grotesk" w:eastAsia="Space Grotesk" w:hAnsi="Space Grotesk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pace Grotesk" w:cs="Space Grotesk" w:eastAsia="Space Grotesk" w:hAnsi="Space Grotesk"/>
          <w:color w:val="19b2ba"/>
          <w:sz w:val="24"/>
          <w:szCs w:val="24"/>
          <w:rtl w:val="0"/>
        </w:rPr>
        <w:t xml:space="preserve">ANSWER</w:t>
      </w:r>
    </w:p>
    <w:p w:rsidR="00000000" w:rsidDel="00000000" w:rsidP="00000000" w:rsidRDefault="00000000" w:rsidRPr="00000000" w14:paraId="00000004">
      <w:pPr>
        <w:pStyle w:val="Title"/>
        <w:pageBreakBefore w:val="0"/>
        <w:spacing w:before="200" w:lineRule="auto"/>
        <w:rPr/>
      </w:pPr>
      <w:bookmarkStart w:colFirst="0" w:colLast="0" w:name="_7q1rzrbgfp3m" w:id="0"/>
      <w:bookmarkEnd w:id="0"/>
      <w:r w:rsidDel="00000000" w:rsidR="00000000" w:rsidRPr="00000000">
        <w:rPr>
          <w:rtl w:val="0"/>
        </w:rPr>
        <w:t xml:space="preserve">Early Review Checklist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color w:val="3c4f50"/>
          <w:sz w:val="40"/>
          <w:szCs w:val="40"/>
        </w:rPr>
      </w:pPr>
      <w:r w:rsidDel="00000000" w:rsidR="00000000" w:rsidRPr="00000000">
        <w:rPr>
          <w:color w:val="3c4f50"/>
          <w:sz w:val="40"/>
          <w:szCs w:val="40"/>
          <w:rtl w:val="0"/>
        </w:rPr>
        <w:t xml:space="preserve">Activity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color w:val="7c9192"/>
          <w:rtl w:val="0"/>
        </w:rPr>
        <w:t xml:space="preserve">Level: </w:t>
      </w:r>
      <w:r w:rsidDel="00000000" w:rsidR="00000000" w:rsidRPr="00000000">
        <w:rPr>
          <w:rtl w:val="0"/>
        </w:rPr>
        <w:tab/>
        <w:t xml:space="preserve">Basic</w:t>
        <w:br w:type="textWrapping"/>
      </w:r>
      <w:r w:rsidDel="00000000" w:rsidR="00000000" w:rsidRPr="00000000">
        <w:rPr>
          <w:color w:val="7c9192"/>
          <w:rtl w:val="0"/>
        </w:rPr>
        <w:t xml:space="preserve">Duration:</w:t>
      </w:r>
      <w:r w:rsidDel="00000000" w:rsidR="00000000" w:rsidRPr="00000000">
        <w:rPr>
          <w:rtl w:val="0"/>
        </w:rPr>
        <w:t xml:space="preserve">⏳️⏳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4515" w:hRule="atLeast"/>
          <w:tblHeader w:val="0"/>
        </w:trPr>
        <w:tc>
          <w:tcPr>
            <w:tcBorders>
              <w:top w:color="7c9192" w:space="0" w:sz="8" w:val="dotted"/>
              <w:left w:color="7c9192" w:space="0" w:sz="8" w:val="dotted"/>
              <w:bottom w:color="7c9192" w:space="0" w:sz="8" w:val="dotted"/>
              <w:right w:color="7c9192" w:space="0" w:sz="8" w:val="dotted"/>
            </w:tcBorders>
            <w:shd w:fill="f1f7f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3"/>
              <w:pageBreakBefore w:val="0"/>
              <w:spacing w:after="320" w:before="320" w:line="288" w:lineRule="auto"/>
              <w:ind w:left="450" w:right="600" w:firstLine="0"/>
              <w:rPr>
                <w:sz w:val="30"/>
                <w:szCs w:val="30"/>
              </w:rPr>
            </w:pPr>
            <w:bookmarkStart w:colFirst="0" w:colLast="0" w:name="_tpu90f1vevb8" w:id="1"/>
            <w:bookmarkEnd w:id="1"/>
            <w:r w:rsidDel="00000000" w:rsidR="00000000" w:rsidRPr="00000000">
              <w:rPr>
                <w:sz w:val="30"/>
                <w:szCs w:val="30"/>
                <w:rtl w:val="0"/>
              </w:rPr>
              <w:t xml:space="preserve">Instructions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before="160" w:line="288" w:lineRule="auto"/>
              <w:ind w:left="450" w:right="60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This activity requires familiarity with the dataset being documented in a Data Card. Work through the listed questions with your team to organize your documentation, enlist the help of stakeholders, anticipate bottlenecks and distribute work.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before="160" w:line="288" w:lineRule="auto"/>
              <w:ind w:left="450" w:right="60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Start with a review of the Data Card template as a group. Use this to identify relevant questions and organize resources (analysis, documents, people) needed to answer them. Once the workload has been distributed, determine your timelines and plan check-ins.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685800</wp:posOffset>
            </wp:positionH>
            <wp:positionV relativeFrom="page">
              <wp:posOffset>8915400</wp:posOffset>
            </wp:positionV>
            <wp:extent cx="1257627" cy="657138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627" cy="657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widowControl w:val="0"/>
        <w:rPr/>
      </w:pPr>
      <w:bookmarkStart w:colFirst="0" w:colLast="0" w:name="_cizhebsn7jnl" w:id="2"/>
      <w:bookmarkEnd w:id="2"/>
      <w:r w:rsidDel="00000000" w:rsidR="00000000" w:rsidRPr="00000000">
        <w:rPr>
          <w:rtl w:val="0"/>
        </w:rPr>
        <w:t xml:space="preserve">Early Review Checklist</w:t>
      </w:r>
    </w:p>
    <w:p w:rsidR="00000000" w:rsidDel="00000000" w:rsidP="00000000" w:rsidRDefault="00000000" w:rsidRPr="00000000" w14:paraId="0000000D">
      <w:pPr>
        <w:pStyle w:val="Heading4"/>
        <w:widowControl w:val="0"/>
        <w:rPr/>
      </w:pPr>
      <w:bookmarkStart w:colFirst="0" w:colLast="0" w:name="_6dktn6rfomoe" w:id="3"/>
      <w:bookmarkEnd w:id="3"/>
      <w:r w:rsidDel="00000000" w:rsidR="00000000" w:rsidRPr="00000000">
        <w:rPr>
          <w:rtl w:val="0"/>
        </w:rPr>
        <w:t xml:space="preserve">Reviewing questions in the Data Card Template: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4"/>
        </w:numPr>
        <w:spacing w:after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Which fields are inapplicable or irrelevant to your dataset or model? </w:t>
        <w:br w:type="textWrapping"/>
        <w:t xml:space="preserve">Can this change in the future?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4"/>
        </w:numPr>
        <w:spacing w:after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fields are applicable, but appear infeasible to document? Why?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4"/>
        </w:numPr>
        <w:spacing w:after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Which fields need a human-written answer? Which can be automated?</w:t>
      </w:r>
    </w:p>
    <w:p w:rsidR="00000000" w:rsidDel="00000000" w:rsidP="00000000" w:rsidRDefault="00000000" w:rsidRPr="00000000" w14:paraId="00000011">
      <w:pPr>
        <w:pStyle w:val="Heading4"/>
        <w:widowControl w:val="0"/>
        <w:rPr/>
      </w:pPr>
      <w:bookmarkStart w:colFirst="0" w:colLast="0" w:name="_y2fpvfhu2wdi" w:id="4"/>
      <w:bookmarkEnd w:id="4"/>
      <w:r w:rsidDel="00000000" w:rsidR="00000000" w:rsidRPr="00000000">
        <w:rPr>
          <w:rtl w:val="0"/>
        </w:rPr>
        <w:t xml:space="preserve">Organizing timelines and distributing the work: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3"/>
        </w:numPr>
        <w:spacing w:after="160" w:before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When do you hope to have it completed by?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spacing w:after="160" w:before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Which fields are likely to take longer to answer? How long?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spacing w:after="160" w:before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Are there any additional analyses that need to be factored into the timeline?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3"/>
        </w:numPr>
        <w:spacing w:after="160" w:before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documents need to be gathered to complete the Data Card?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3"/>
        </w:numPr>
        <w:spacing w:after="160" w:before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Who should be responsible for documenting the answer to a given field? </w:t>
        <w:br w:type="textWrapping"/>
        <w:t xml:space="preserve">How long is this likely to take?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3"/>
        </w:numPr>
        <w:spacing w:after="160" w:before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Who else (subject matter experts, analysts, others) should be brought into the project? </w:t>
        <w:br w:type="textWrapping"/>
        <w:t xml:space="preserve">What for? </w:t>
      </w:r>
    </w:p>
    <w:p w:rsidR="00000000" w:rsidDel="00000000" w:rsidP="00000000" w:rsidRDefault="00000000" w:rsidRPr="00000000" w14:paraId="00000018">
      <w:pPr>
        <w:pStyle w:val="Heading4"/>
        <w:widowControl w:val="0"/>
        <w:rPr/>
      </w:pPr>
      <w:bookmarkStart w:colFirst="0" w:colLast="0" w:name="_ge1vf1ys0of0" w:id="5"/>
      <w:bookmarkEnd w:id="5"/>
      <w:r w:rsidDel="00000000" w:rsidR="00000000" w:rsidRPr="00000000">
        <w:rPr>
          <w:rtl w:val="0"/>
        </w:rPr>
        <w:t xml:space="preserve">Wrapping up your Data Card: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2"/>
        </w:numPr>
        <w:spacing w:after="160" w:before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Who needs to review, verify, or sign off on the transparency artifact?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2"/>
        </w:numPr>
        <w:spacing w:after="160" w:before="1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Which fields are likely to change or require maintenance over time? </w:t>
        <w:br w:type="textWrapping"/>
        <w:t xml:space="preserve">Can this process be automated?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widowControl w:val="0"/>
        <w:rPr/>
      </w:pPr>
      <w:bookmarkStart w:colFirst="0" w:colLast="0" w:name="_u05rxf4t94jh" w:id="6"/>
      <w:bookmarkEnd w:id="6"/>
      <w:r w:rsidDel="00000000" w:rsidR="00000000" w:rsidRPr="00000000">
        <w:rPr>
          <w:rtl w:val="0"/>
        </w:rPr>
        <w:t xml:space="preserve">Worksheet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4"/>
        <w:widowControl w:val="0"/>
        <w:spacing w:after="0" w:lineRule="auto"/>
        <w:rPr>
          <w:shd w:fill="def4f3" w:val="clear"/>
        </w:rPr>
      </w:pPr>
      <w:bookmarkStart w:colFirst="0" w:colLast="0" w:name="_vo4g6xfldjim" w:id="7"/>
      <w:bookmarkEnd w:id="7"/>
      <w:r w:rsidDel="00000000" w:rsidR="00000000" w:rsidRPr="00000000">
        <w:rPr>
          <w:shd w:fill="def4f3" w:val="clear"/>
          <w:rtl w:val="0"/>
        </w:rPr>
        <w:t xml:space="preserve">Reviewing questions in the Data Card Template: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spacing w:after="160" w:before="320" w:line="288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Which fields are inapplicable or irrelevant to your dataset or model? Can this change in the future?</w:t>
      </w:r>
    </w:p>
    <w:tbl>
      <w:tblPr>
        <w:tblStyle w:val="Table2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320" w:line="28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320" w:line="28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spacing w:after="160" w:before="320" w:line="288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fields are applicable, but appear infeasible to document? Why?</w:t>
      </w:r>
    </w:p>
    <w:tbl>
      <w:tblPr>
        <w:tblStyle w:val="Table3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160" w:before="320" w:line="288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160" w:before="320" w:line="288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spacing w:after="160" w:before="320" w:line="288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Which fields need a human-written answer? Which can be automated?</w:t>
      </w:r>
    </w:p>
    <w:tbl>
      <w:tblPr>
        <w:tblStyle w:val="Table4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Style w:val="Heading4"/>
        <w:widowControl w:val="0"/>
        <w:rPr/>
      </w:pPr>
      <w:bookmarkStart w:colFirst="0" w:colLast="0" w:name="_rgwibhix5ly8" w:id="8"/>
      <w:bookmarkEnd w:id="8"/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Organizing timelines and distributing the work: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1"/>
        </w:numPr>
        <w:spacing w:after="160" w:before="240" w:lineRule="auto"/>
        <w:ind w:left="720" w:hanging="360"/>
      </w:pPr>
      <w:r w:rsidDel="00000000" w:rsidR="00000000" w:rsidRPr="00000000">
        <w:rPr>
          <w:rtl w:val="0"/>
        </w:rPr>
        <w:t xml:space="preserve">When do you hope to have it completed by?</w:t>
      </w:r>
    </w:p>
    <w:tbl>
      <w:tblPr>
        <w:tblStyle w:val="Table5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numPr>
          <w:ilvl w:val="0"/>
          <w:numId w:val="1"/>
        </w:numPr>
        <w:spacing w:after="160" w:before="240" w:lineRule="auto"/>
        <w:ind w:left="720" w:hanging="360"/>
      </w:pPr>
      <w:r w:rsidDel="00000000" w:rsidR="00000000" w:rsidRPr="00000000">
        <w:rPr>
          <w:rtl w:val="0"/>
        </w:rPr>
        <w:t xml:space="preserve">Which fields are likely to take longer to answer? How long?</w:t>
      </w:r>
    </w:p>
    <w:tbl>
      <w:tblPr>
        <w:tblStyle w:val="Table6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spacing w:after="160" w:before="240" w:lineRule="auto"/>
        <w:ind w:left="720" w:hanging="360"/>
      </w:pPr>
      <w:r w:rsidDel="00000000" w:rsidR="00000000" w:rsidRPr="00000000">
        <w:rPr>
          <w:rtl w:val="0"/>
        </w:rPr>
        <w:t xml:space="preserve">Are there any additional analyses that need to be factored into the timeline?</w:t>
      </w:r>
    </w:p>
    <w:tbl>
      <w:tblPr>
        <w:tblStyle w:val="Table7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widowControl w:val="0"/>
        <w:spacing w:after="160" w:before="240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16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1"/>
        </w:numPr>
        <w:spacing w:after="160" w:before="240" w:lineRule="auto"/>
        <w:ind w:left="720" w:hanging="360"/>
      </w:pPr>
      <w:r w:rsidDel="00000000" w:rsidR="00000000" w:rsidRPr="00000000">
        <w:rPr>
          <w:rtl w:val="0"/>
        </w:rPr>
        <w:t xml:space="preserve">What documents need to be gathered to complete the Data Card?</w:t>
      </w:r>
    </w:p>
    <w:tbl>
      <w:tblPr>
        <w:tblStyle w:val="Table8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widowControl w:val="0"/>
        <w:numPr>
          <w:ilvl w:val="0"/>
          <w:numId w:val="1"/>
        </w:numPr>
        <w:spacing w:after="160" w:before="240" w:lineRule="auto"/>
        <w:ind w:left="720" w:hanging="360"/>
      </w:pPr>
      <w:r w:rsidDel="00000000" w:rsidR="00000000" w:rsidRPr="00000000">
        <w:rPr>
          <w:rtl w:val="0"/>
        </w:rPr>
        <w:t xml:space="preserve">Who should be responsible for documenting the answer to a given field? How long is this likely to take?</w:t>
      </w:r>
    </w:p>
    <w:tbl>
      <w:tblPr>
        <w:tblStyle w:val="Table9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widowControl w:val="0"/>
        <w:numPr>
          <w:ilvl w:val="0"/>
          <w:numId w:val="1"/>
        </w:numPr>
        <w:spacing w:after="160" w:before="240" w:lineRule="auto"/>
        <w:ind w:left="720" w:hanging="360"/>
      </w:pPr>
      <w:r w:rsidDel="00000000" w:rsidR="00000000" w:rsidRPr="00000000">
        <w:rPr>
          <w:rtl w:val="0"/>
        </w:rPr>
        <w:t xml:space="preserve">Who else (subject matter experts, analysts, others) should be brought into the project? What for? </w:t>
      </w:r>
    </w:p>
    <w:tbl>
      <w:tblPr>
        <w:tblStyle w:val="Table10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widowControl w:val="0"/>
        <w:spacing w:after="16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4"/>
        <w:widowControl w:val="0"/>
        <w:rPr/>
      </w:pPr>
      <w:bookmarkStart w:colFirst="0" w:colLast="0" w:name="_z481kvtdo2jx" w:id="9"/>
      <w:bookmarkEnd w:id="9"/>
      <w:r w:rsidDel="00000000" w:rsidR="00000000" w:rsidRPr="00000000">
        <w:rPr>
          <w:rtl w:val="0"/>
        </w:rPr>
        <w:t xml:space="preserve">Wrapping up your Data Card: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Who needs to review, verify, or sign off on the transparency artifact?</w:t>
      </w:r>
    </w:p>
    <w:tbl>
      <w:tblPr>
        <w:tblStyle w:val="Table11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Which fields are likely to change or require maintenance over time? Can this process be automated?</w:t>
      </w:r>
    </w:p>
    <w:tbl>
      <w:tblPr>
        <w:tblStyle w:val="Table12"/>
        <w:tblW w:w="936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pageBreakBefore w:val="0"/>
        <w:widowControl w:val="0"/>
        <w:spacing w:after="320" w:before="160" w:line="288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widowControl w:val="0"/>
        <w:spacing w:after="320" w:before="160" w:line="288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widowControl w:val="0"/>
        <w:spacing w:after="320" w:before="160" w:line="288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3"/>
        <w:tblW w:w="90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15"/>
        <w:gridCol w:w="6900"/>
        <w:tblGridChange w:id="0">
          <w:tblGrid>
            <w:gridCol w:w="2115"/>
            <w:gridCol w:w="690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cddcdc" w:space="0" w:sz="8" w:val="single"/>
              <w:left w:color="cddcdc" w:space="0" w:sz="8" w:val="single"/>
              <w:bottom w:color="cddcdc" w:space="0" w:sz="8" w:val="single"/>
              <w:right w:color="000000" w:space="0" w:sz="0" w:val="nil"/>
            </w:tcBorders>
            <w:shd w:fill="f1f7f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pStyle w:val="Heading4"/>
              <w:pageBreakBefore w:val="0"/>
              <w:widowControl w:val="0"/>
              <w:spacing w:line="288" w:lineRule="auto"/>
              <w:rPr/>
            </w:pPr>
            <w:bookmarkStart w:colFirst="0" w:colLast="0" w:name="_apvxncr047ir" w:id="10"/>
            <w:bookmarkEnd w:id="10"/>
            <w:r w:rsidDel="00000000" w:rsidR="00000000" w:rsidRPr="00000000">
              <w:rPr/>
              <w:drawing>
                <wp:inline distB="114300" distT="114300" distL="114300" distR="114300">
                  <wp:extent cx="1157288" cy="409575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569" r="56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ddcdc" w:space="0" w:sz="8" w:val="single"/>
              <w:left w:color="000000" w:space="0" w:sz="0" w:val="nil"/>
              <w:bottom w:color="cddcdc" w:space="0" w:sz="8" w:val="single"/>
              <w:right w:color="cddcdc" w:space="0" w:sz="8" w:val="single"/>
            </w:tcBorders>
            <w:shd w:fill="f1f7f7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after="0" w:line="326.4" w:lineRule="auto"/>
              <w:rPr>
                <w:rFonts w:ascii="Inter" w:cs="Inter" w:eastAsia="Inter" w:hAnsi="Inter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3c4043"/>
                <w:sz w:val="20"/>
                <w:szCs w:val="20"/>
                <w:rtl w:val="0"/>
              </w:rPr>
              <w:t xml:space="preserve">The</w:t>
            </w:r>
            <w:r w:rsidDel="00000000" w:rsidR="00000000" w:rsidRPr="00000000">
              <w:rPr>
                <w:color w:val="3c4043"/>
                <w:sz w:val="20"/>
                <w:szCs w:val="20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Inter" w:cs="Inter" w:eastAsia="Inter" w:hAnsi="Inter"/>
                  <w:color w:val="8920e9"/>
                  <w:sz w:val="20"/>
                  <w:szCs w:val="20"/>
                  <w:u w:val="single"/>
                  <w:rtl w:val="0"/>
                </w:rPr>
                <w:t xml:space="preserve">Data Cards Playbook ↗</w:t>
              </w:r>
            </w:hyperlink>
            <w:r w:rsidDel="00000000" w:rsidR="00000000" w:rsidRPr="00000000">
              <w:rPr>
                <w:rFonts w:ascii="Inter" w:cs="Inter" w:eastAsia="Inter" w:hAnsi="Inter"/>
                <w:color w:val="3c4043"/>
                <w:sz w:val="20"/>
                <w:szCs w:val="20"/>
                <w:rtl w:val="0"/>
              </w:rPr>
              <w:t xml:space="preserve"> by Google Research is licensed under a Creative Commons Attribution-ShareAlike 4.0 International License.</w:t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after="0" w:line="326.4" w:lineRule="auto"/>
              <w:rPr>
                <w:rFonts w:ascii="Inter" w:cs="Inter" w:eastAsia="Inter" w:hAnsi="Inter"/>
                <w:color w:val="8920e9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3c4043"/>
                <w:sz w:val="20"/>
                <w:szCs w:val="20"/>
                <w:rtl w:val="0"/>
              </w:rPr>
              <w:t xml:space="preserve">You are free to share and adapt this work under the </w:t>
            </w:r>
            <w:hyperlink r:id="rId11">
              <w:r w:rsidDel="00000000" w:rsidR="00000000" w:rsidRPr="00000000">
                <w:rPr>
                  <w:rFonts w:ascii="Inter" w:cs="Inter" w:eastAsia="Inter" w:hAnsi="Inter"/>
                  <w:color w:val="8920e9"/>
                  <w:sz w:val="20"/>
                  <w:szCs w:val="20"/>
                  <w:u w:val="single"/>
                  <w:rtl w:val="0"/>
                </w:rPr>
                <w:t xml:space="preserve">appropriate license terms ↗</w:t>
              </w:r>
            </w:hyperlink>
            <w:r w:rsidDel="00000000" w:rsidR="00000000" w:rsidRPr="00000000">
              <w:rPr>
                <w:rFonts w:ascii="Inter" w:cs="Inter" w:eastAsia="Inter" w:hAnsi="Inter"/>
                <w:color w:val="8920e9"/>
                <w:sz w:val="20"/>
                <w:szCs w:val="20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49">
      <w:pPr>
        <w:spacing w:after="0" w:before="0" w:lineRule="auto"/>
        <w:rPr/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5840" w:w="12240" w:orient="portrait"/>
      <w:pgMar w:bottom="1080" w:top="108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ubik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</w:font>
  <w:font w:name="Google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Space Grotesk">
    <w:embedRegular w:fontKey="{00000000-0000-0000-0000-000000000000}" r:id="rId15" w:subsetted="0"/>
    <w:embedBold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spacing w:after="0" w:before="0" w:line="240" w:lineRule="auto"/>
      <w:rPr/>
    </w:pPr>
    <w:r w:rsidDel="00000000" w:rsidR="00000000" w:rsidRPr="00000000">
      <w:rPr>
        <w:sz w:val="16"/>
        <w:szCs w:val="16"/>
        <w:rtl w:val="0"/>
      </w:rPr>
      <w:tab/>
      <w:tab/>
      <w:tab/>
      <w:tab/>
      <w:tab/>
      <w:tab/>
      <w:tab/>
      <w:tab/>
      <w:tab/>
      <w:tab/>
    </w:r>
    <w:r w:rsidDel="00000000" w:rsidR="00000000" w:rsidRPr="00000000">
      <w:rPr>
        <w:rtl w:val="0"/>
      </w:rPr>
    </w:r>
  </w:p>
  <w:tbl>
    <w:tblPr>
      <w:tblStyle w:val="Table14"/>
      <w:tblW w:w="936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680"/>
      <w:gridCol w:w="4680"/>
      <w:tblGridChange w:id="0">
        <w:tblGrid>
          <w:gridCol w:w="4680"/>
          <w:gridCol w:w="468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4C">
          <w:pPr>
            <w:spacing w:after="0" w:before="0" w:line="24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591969" cy="602059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21312" l="22147" r="18791" t="196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969" cy="6020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4D">
          <w:pPr>
            <w:spacing w:after="0" w:before="0" w:line="240" w:lineRule="auto"/>
            <w:jc w:val="right"/>
            <w:rPr/>
          </w:pPr>
          <w:r w:rsidDel="00000000" w:rsidR="00000000" w:rsidRPr="00000000">
            <w:rPr>
              <w:sz w:val="20"/>
              <w:szCs w:val="20"/>
              <w:rtl w:val="0"/>
            </w:rPr>
            <w:t xml:space="preserve">Page </w:t>
          </w:r>
          <w:r w:rsidDel="00000000" w:rsidR="00000000" w:rsidRPr="00000000">
            <w:rPr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sz w:val="20"/>
              <w:szCs w:val="20"/>
              <w:rtl w:val="0"/>
            </w:rPr>
            <w:t xml:space="preserve"> of </w:t>
          </w:r>
          <w:r w:rsidDel="00000000" w:rsidR="00000000" w:rsidRPr="00000000">
            <w:rPr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E">
    <w:pPr>
      <w:spacing w:after="0" w:before="0" w:lineRule="auto"/>
      <w:jc w:val="lef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ind w:left="7920" w:firstLine="0"/>
      <w:jc w:val="lef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          Page </w:t>
    </w: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20"/>
        <w:szCs w:val="20"/>
        <w:rtl w:val="0"/>
      </w:rPr>
      <w:t xml:space="preserve"> of </w:t>
    </w:r>
    <w:r w:rsidDel="00000000" w:rsidR="00000000" w:rsidRPr="00000000">
      <w:rPr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spacing w:after="0" w:before="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Inter" w:cs="Inter" w:eastAsia="Inter" w:hAnsi="Inter"/>
        <w:color w:val="3c4f50"/>
        <w:sz w:val="22"/>
        <w:szCs w:val="22"/>
        <w:lang w:val="en"/>
      </w:rPr>
    </w:rPrDefault>
    <w:pPrDefault>
      <w:pPr>
        <w:spacing w:after="320" w:before="16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40" w:lineRule="auto"/>
    </w:pPr>
    <w:rPr>
      <w:rFonts w:ascii="Google Sans" w:cs="Google Sans" w:eastAsia="Google Sans" w:hAnsi="Google Sans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Rubik Light" w:cs="Rubik Light" w:eastAsia="Rubik Light" w:hAnsi="Rubik Light"/>
      <w:color w:val="152d2e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line="268.8" w:lineRule="auto"/>
    </w:pPr>
    <w:rPr>
      <w:color w:val="152d2e"/>
      <w:sz w:val="24"/>
      <w:szCs w:val="24"/>
      <w:shd w:fill="def4f3" w:val="clear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Rubik Medium" w:cs="Rubik Medium" w:eastAsia="Rubik Medium" w:hAnsi="Rubik Medium"/>
      <w:color w:val="3c4043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reativecommons.org/licenses/by-sa/4.0/deed.ast" TargetMode="External"/><Relationship Id="rId10" Type="http://schemas.openxmlformats.org/officeDocument/2006/relationships/hyperlink" Target="http://pair-code.github.io/datacardsplaybook" TargetMode="External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yperlink" Target="http://pair-code.github.io/datacardsplaybook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GoogleSans-regular.ttf"/><Relationship Id="rId10" Type="http://schemas.openxmlformats.org/officeDocument/2006/relationships/font" Target="fonts/Inter-bold.ttf"/><Relationship Id="rId13" Type="http://schemas.openxmlformats.org/officeDocument/2006/relationships/font" Target="fonts/GoogleSans-italic.ttf"/><Relationship Id="rId12" Type="http://schemas.openxmlformats.org/officeDocument/2006/relationships/font" Target="fonts/GoogleSans-bold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Inter-regular.ttf"/><Relationship Id="rId15" Type="http://schemas.openxmlformats.org/officeDocument/2006/relationships/font" Target="fonts/SpaceGrotesk-regular.ttf"/><Relationship Id="rId14" Type="http://schemas.openxmlformats.org/officeDocument/2006/relationships/font" Target="fonts/GoogleSans-boldItalic.ttf"/><Relationship Id="rId16" Type="http://schemas.openxmlformats.org/officeDocument/2006/relationships/font" Target="fonts/SpaceGrotesk-bold.ttf"/><Relationship Id="rId5" Type="http://schemas.openxmlformats.org/officeDocument/2006/relationships/font" Target="fonts/RubikLight-regular.ttf"/><Relationship Id="rId6" Type="http://schemas.openxmlformats.org/officeDocument/2006/relationships/font" Target="fonts/RubikLight-bold.ttf"/><Relationship Id="rId7" Type="http://schemas.openxmlformats.org/officeDocument/2006/relationships/font" Target="fonts/RubikLight-italic.ttf"/><Relationship Id="rId8" Type="http://schemas.openxmlformats.org/officeDocument/2006/relationships/font" Target="fonts/Rubik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