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Space Grotesk" w:cs="Space Grotesk" w:eastAsia="Space Grotesk" w:hAnsi="Space Grotesk"/>
          <w:color w:val="6f8d8e"/>
          <w:sz w:val="24"/>
          <w:szCs w:val="24"/>
        </w:rPr>
      </w:pPr>
      <w:r w:rsidDel="00000000" w:rsidR="00000000" w:rsidRPr="00000000">
        <w:rPr>
          <w:rtl w:val="0"/>
        </w:rPr>
      </w:r>
    </w:p>
    <w:p w:rsidR="00000000" w:rsidDel="00000000" w:rsidP="00000000" w:rsidRDefault="00000000" w:rsidRPr="00000000" w14:paraId="00000002">
      <w:pPr>
        <w:jc w:val="right"/>
        <w:rPr>
          <w:color w:val="ff675c"/>
        </w:rPr>
      </w:pPr>
      <w:r w:rsidDel="00000000" w:rsidR="00000000" w:rsidRPr="00000000">
        <w:rPr>
          <w:rFonts w:ascii="Space Grotesk" w:cs="Space Grotesk" w:eastAsia="Space Grotesk" w:hAnsi="Space Grotesk"/>
          <w:color w:val="6f8d8e"/>
          <w:sz w:val="24"/>
          <w:szCs w:val="24"/>
        </w:rPr>
        <w:drawing>
          <wp:anchor allowOverlap="1" behindDoc="0" distB="0" distT="0" distL="0" distR="0" hidden="0" layoutInCell="1" locked="0" relativeHeight="0" simplePos="0">
            <wp:simplePos x="0" y="0"/>
            <wp:positionH relativeFrom="page">
              <wp:posOffset>95250</wp:posOffset>
            </wp:positionH>
            <wp:positionV relativeFrom="page">
              <wp:posOffset>288607</wp:posOffset>
            </wp:positionV>
            <wp:extent cx="2438400" cy="914400"/>
            <wp:effectExtent b="0" l="0" r="0" t="0"/>
            <wp:wrapSquare wrapText="bothSides" distB="0" distT="0" distL="0" distR="0"/>
            <wp:docPr id="4" name="image3.jpg"/>
            <a:graphic>
              <a:graphicData uri="http://schemas.openxmlformats.org/drawingml/2006/picture">
                <pic:pic>
                  <pic:nvPicPr>
                    <pic:cNvPr id="0" name="image3.jpg"/>
                    <pic:cNvPicPr preferRelativeResize="0"/>
                  </pic:nvPicPr>
                  <pic:blipFill>
                    <a:blip r:embed="rId6"/>
                    <a:srcRect b="21951" l="0" r="0" t="0"/>
                    <a:stretch>
                      <a:fillRect/>
                    </a:stretch>
                  </pic:blipFill>
                  <pic:spPr>
                    <a:xfrm>
                      <a:off x="0" y="0"/>
                      <a:ext cx="2438400" cy="914400"/>
                    </a:xfrm>
                    <a:prstGeom prst="rect"/>
                    <a:ln/>
                  </pic:spPr>
                </pic:pic>
              </a:graphicData>
            </a:graphic>
          </wp:anchor>
        </w:drawing>
      </w:r>
      <w:hyperlink r:id="rId7">
        <w:r w:rsidDel="00000000" w:rsidR="00000000" w:rsidRPr="00000000">
          <w:rPr>
            <w:color w:val="ff675c"/>
            <w:u w:val="single"/>
            <w:rtl w:val="0"/>
          </w:rPr>
          <w:t xml:space="preserve">pair-code.github.io/datacardsplaybook</w:t>
        </w:r>
      </w:hyperlink>
      <w:r w:rsidDel="00000000" w:rsidR="00000000" w:rsidRPr="00000000">
        <w:rPr>
          <w:rtl w:val="0"/>
        </w:rPr>
      </w:r>
    </w:p>
    <w:p w:rsidR="00000000" w:rsidDel="00000000" w:rsidP="00000000" w:rsidRDefault="00000000" w:rsidRPr="00000000" w14:paraId="00000003">
      <w:pPr>
        <w:rPr>
          <w:rFonts w:ascii="Space Grotesk" w:cs="Space Grotesk" w:eastAsia="Space Grotesk" w:hAnsi="Space Grotesk"/>
          <w:color w:val="6f8d8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widowControl w:val="0"/>
        <w:spacing w:after="0" w:before="0" w:line="276" w:lineRule="auto"/>
        <w:rPr>
          <w:rFonts w:ascii="Space Grotesk" w:cs="Space Grotesk" w:eastAsia="Space Grotesk" w:hAnsi="Space Grotesk"/>
          <w:color w:val="7cbe0a"/>
          <w:sz w:val="24"/>
          <w:szCs w:val="24"/>
        </w:rPr>
      </w:pPr>
      <w:r w:rsidDel="00000000" w:rsidR="00000000" w:rsidRPr="00000000">
        <w:rPr>
          <w:rFonts w:ascii="Space Grotesk" w:cs="Space Grotesk" w:eastAsia="Space Grotesk" w:hAnsi="Space Grotesk"/>
          <w:color w:val="6f8d8e"/>
          <w:sz w:val="24"/>
          <w:szCs w:val="24"/>
          <w:rtl w:val="0"/>
        </w:rPr>
        <w:t xml:space="preserve">MODULE</w:t>
      </w:r>
      <w:r w:rsidDel="00000000" w:rsidR="00000000" w:rsidRPr="00000000">
        <w:rPr>
          <w:rFonts w:ascii="Space Grotesk" w:cs="Space Grotesk" w:eastAsia="Space Grotesk" w:hAnsi="Space Grotesk"/>
          <w:sz w:val="24"/>
          <w:szCs w:val="24"/>
          <w:rtl w:val="0"/>
        </w:rPr>
        <w:t xml:space="preserve"> </w:t>
      </w:r>
      <w:r w:rsidDel="00000000" w:rsidR="00000000" w:rsidRPr="00000000">
        <w:rPr>
          <w:rFonts w:ascii="Space Grotesk" w:cs="Space Grotesk" w:eastAsia="Space Grotesk" w:hAnsi="Space Grotesk"/>
          <w:color w:val="7cbe0a"/>
          <w:sz w:val="24"/>
          <w:szCs w:val="24"/>
          <w:rtl w:val="0"/>
        </w:rPr>
        <w:t xml:space="preserve">AUDIT</w:t>
      </w:r>
    </w:p>
    <w:p w:rsidR="00000000" w:rsidDel="00000000" w:rsidP="00000000" w:rsidRDefault="00000000" w:rsidRPr="00000000" w14:paraId="00000005">
      <w:pPr>
        <w:pStyle w:val="Title"/>
        <w:pageBreakBefore w:val="0"/>
        <w:spacing w:before="200" w:lineRule="auto"/>
        <w:rPr/>
      </w:pPr>
      <w:bookmarkStart w:colFirst="0" w:colLast="0" w:name="_7q1rzrbgfp3m" w:id="0"/>
      <w:bookmarkEnd w:id="0"/>
      <w:r w:rsidDel="00000000" w:rsidR="00000000" w:rsidRPr="00000000">
        <w:rPr>
          <w:rtl w:val="0"/>
        </w:rPr>
        <w:t xml:space="preserve">Implementation Checklist</w:t>
      </w:r>
      <w:r w:rsidDel="00000000" w:rsidR="00000000" w:rsidRPr="00000000">
        <w:rPr>
          <w:rtl w:val="0"/>
        </w:rPr>
      </w:r>
    </w:p>
    <w:p w:rsidR="00000000" w:rsidDel="00000000" w:rsidP="00000000" w:rsidRDefault="00000000" w:rsidRPr="00000000" w14:paraId="00000006">
      <w:pPr>
        <w:pageBreakBefore w:val="0"/>
        <w:rPr>
          <w:color w:val="3c4f50"/>
          <w:sz w:val="40"/>
          <w:szCs w:val="40"/>
        </w:rPr>
      </w:pPr>
      <w:r w:rsidDel="00000000" w:rsidR="00000000" w:rsidRPr="00000000">
        <w:rPr>
          <w:color w:val="3c4f50"/>
          <w:sz w:val="40"/>
          <w:szCs w:val="40"/>
          <w:rtl w:val="0"/>
        </w:rPr>
        <w:t xml:space="preserve">Activity</w:t>
      </w:r>
    </w:p>
    <w:p w:rsidR="00000000" w:rsidDel="00000000" w:rsidP="00000000" w:rsidRDefault="00000000" w:rsidRPr="00000000" w14:paraId="00000007">
      <w:pPr>
        <w:rPr/>
      </w:pPr>
      <w:r w:rsidDel="00000000" w:rsidR="00000000" w:rsidRPr="00000000">
        <w:rPr>
          <w:color w:val="7c9192"/>
          <w:rtl w:val="0"/>
        </w:rPr>
        <w:t xml:space="preserve">Level: </w:t>
      </w:r>
      <w:r w:rsidDel="00000000" w:rsidR="00000000" w:rsidRPr="00000000">
        <w:rPr>
          <w:rtl w:val="0"/>
        </w:rPr>
        <w:tab/>
        <w:t xml:space="preserve">Basic</w:t>
        <w:br w:type="textWrapping"/>
      </w:r>
      <w:r w:rsidDel="00000000" w:rsidR="00000000" w:rsidRPr="00000000">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8915400</wp:posOffset>
            </wp:positionV>
            <wp:extent cx="1257627" cy="65713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57627" cy="657138"/>
                    </a:xfrm>
                    <a:prstGeom prst="rect"/>
                    <a:ln/>
                  </pic:spPr>
                </pic:pic>
              </a:graphicData>
            </a:graphic>
          </wp:anchor>
        </w:drawing>
      </w:r>
      <w:r w:rsidDel="00000000" w:rsidR="00000000" w:rsidRPr="00000000">
        <w:rPr>
          <w:color w:val="7c9192"/>
          <w:rtl w:val="0"/>
        </w:rPr>
        <w:t xml:space="preserve">Duration:</w:t>
      </w:r>
      <w:r w:rsidDel="00000000" w:rsidR="00000000" w:rsidRPr="00000000">
        <w:rPr>
          <w:rtl w:val="0"/>
        </w:rPr>
        <w:t xml:space="preserve">⏳️</w:t>
      </w: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5609.040000000001" w:hRule="atLeast"/>
          <w:tblHeader w:val="0"/>
        </w:trPr>
        <w:tc>
          <w:tcPr>
            <w:tcBorders>
              <w:top w:color="7c9192" w:space="0" w:sz="8" w:val="dotted"/>
              <w:left w:color="7c9192" w:space="0" w:sz="8" w:val="dotted"/>
              <w:bottom w:color="7c9192" w:space="0" w:sz="8" w:val="dotted"/>
              <w:right w:color="7c9192" w:space="0" w:sz="8" w:val="dotted"/>
            </w:tcBorders>
            <w:shd w:fill="f1f7f7" w:val="clear"/>
            <w:tcMar>
              <w:top w:w="100.0" w:type="dxa"/>
              <w:left w:w="100.0" w:type="dxa"/>
              <w:bottom w:w="100.0" w:type="dxa"/>
              <w:right w:w="100.0" w:type="dxa"/>
            </w:tcMar>
            <w:vAlign w:val="top"/>
          </w:tcPr>
          <w:p w:rsidR="00000000" w:rsidDel="00000000" w:rsidP="00000000" w:rsidRDefault="00000000" w:rsidRPr="00000000" w14:paraId="00000008">
            <w:pPr>
              <w:pStyle w:val="Heading3"/>
              <w:pageBreakBefore w:val="0"/>
              <w:spacing w:after="320" w:before="320" w:line="288" w:lineRule="auto"/>
              <w:ind w:left="450" w:right="600" w:firstLine="0"/>
              <w:rPr>
                <w:sz w:val="30"/>
                <w:szCs w:val="30"/>
              </w:rPr>
            </w:pPr>
            <w:bookmarkStart w:colFirst="0" w:colLast="0" w:name="_tpu90f1vevb8" w:id="1"/>
            <w:bookmarkEnd w:id="1"/>
            <w:r w:rsidDel="00000000" w:rsidR="00000000" w:rsidRPr="00000000">
              <w:rPr>
                <w:sz w:val="30"/>
                <w:szCs w:val="30"/>
                <w:rtl w:val="0"/>
              </w:rPr>
              <w:t xml:space="preserve">Instructions</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rFonts w:ascii="Inter" w:cs="Inter" w:eastAsia="Inter" w:hAnsi="Inter"/>
                <w:sz w:val="24"/>
                <w:szCs w:val="24"/>
              </w:rPr>
            </w:pPr>
            <w:r w:rsidDel="00000000" w:rsidR="00000000" w:rsidRPr="00000000">
              <w:rPr>
                <w:sz w:val="24"/>
                <w:szCs w:val="24"/>
                <w:rtl w:val="0"/>
              </w:rPr>
              <w:t xml:space="preserve">Before publicly launching or releasing a completed Data Card, review this checklist to ensure that your implementation addresses basic needs that can drive the adoption and use of your Data Card and the corresponding dataset. </w:t>
            </w:r>
            <w:r w:rsidDel="00000000" w:rsidR="00000000" w:rsidRPr="00000000">
              <w:rPr>
                <w:rtl w:val="0"/>
              </w:rPr>
            </w:r>
          </w:p>
        </w:tc>
      </w:tr>
    </w:tbl>
    <w:p w:rsidR="00000000" w:rsidDel="00000000" w:rsidP="00000000" w:rsidRDefault="00000000" w:rsidRPr="00000000" w14:paraId="0000000A">
      <w:pPr>
        <w:pStyle w:val="Heading3"/>
        <w:pageBreakBefore w:val="0"/>
        <w:widowControl w:val="0"/>
        <w:spacing w:after="0" w:before="160" w:line="288" w:lineRule="auto"/>
        <w:rPr/>
      </w:pPr>
      <w:bookmarkStart w:colFirst="0" w:colLast="0" w:name="_pbz9k8kdqxq6" w:id="2"/>
      <w:bookmarkEnd w:id="2"/>
      <w:r w:rsidDel="00000000" w:rsidR="00000000" w:rsidRPr="00000000">
        <w:rPr>
          <w:rtl w:val="0"/>
        </w:rPr>
        <w:t xml:space="preserve">Implementation Checklist</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ageBreakBefore w:val="0"/>
        <w:widowControl w:val="0"/>
        <w:numPr>
          <w:ilvl w:val="0"/>
          <w:numId w:val="1"/>
        </w:numPr>
        <w:spacing w:after="200" w:before="0" w:line="288" w:lineRule="auto"/>
        <w:ind w:left="720" w:hanging="360"/>
        <w:rPr>
          <w:rFonts w:ascii="Roboto" w:cs="Roboto" w:eastAsia="Roboto" w:hAnsi="Roboto"/>
        </w:rPr>
      </w:pPr>
      <w:r w:rsidDel="00000000" w:rsidR="00000000" w:rsidRPr="00000000">
        <w:rPr>
          <w:b w:val="1"/>
          <w:rtl w:val="0"/>
        </w:rPr>
        <w:t xml:space="preserve">Discoverable: </w:t>
      </w:r>
      <w:r w:rsidDel="00000000" w:rsidR="00000000" w:rsidRPr="00000000">
        <w:rPr>
          <w:rtl w:val="0"/>
        </w:rPr>
        <w:t xml:space="preserve">The Data Card is easily discoverable along with the dataset, or in any academic literature that cites or uses the dataset. </w:t>
        <w:br w:type="textWrapping"/>
        <w:br w:type="textWrapping"/>
        <w:t xml:space="preserve">How: Double check that its associated academic literature citation points directly to the Data Card, and vice versa. The same goes for any document, website, repository or platform. Readers should also be able to discover the dataset from viewing the Data Card.</w:t>
        <w:br w:type="textWrapping"/>
        <w:br w:type="textWrapping"/>
        <w:t xml:space="preserve">Your notes:</w:t>
        <w:br w:type="textWrapping"/>
      </w:r>
      <w:r w:rsidDel="00000000" w:rsidR="00000000" w:rsidRPr="00000000">
        <w:rPr>
          <w:rtl w:val="0"/>
        </w:rPr>
      </w:r>
    </w:p>
    <w:p w:rsidR="00000000" w:rsidDel="00000000" w:rsidP="00000000" w:rsidRDefault="00000000" w:rsidRPr="00000000" w14:paraId="0000000D">
      <w:pPr>
        <w:pageBreakBefore w:val="0"/>
        <w:widowControl w:val="0"/>
        <w:numPr>
          <w:ilvl w:val="0"/>
          <w:numId w:val="1"/>
        </w:numPr>
        <w:spacing w:after="200" w:before="0" w:line="288" w:lineRule="auto"/>
        <w:ind w:left="720" w:hanging="360"/>
        <w:rPr>
          <w:rFonts w:ascii="Roboto" w:cs="Roboto" w:eastAsia="Roboto" w:hAnsi="Roboto"/>
        </w:rPr>
      </w:pPr>
      <w:r w:rsidDel="00000000" w:rsidR="00000000" w:rsidRPr="00000000">
        <w:rPr>
          <w:b w:val="1"/>
          <w:rtl w:val="0"/>
        </w:rPr>
        <w:t xml:space="preserve">Shareable: </w:t>
      </w:r>
      <w:r w:rsidDel="00000000" w:rsidR="00000000" w:rsidRPr="00000000">
        <w:rPr>
          <w:rtl w:val="0"/>
        </w:rPr>
        <w:t xml:space="preserve">The Data Card can be shared as a standalone document, or along with the dataset without any changes required.</w:t>
      </w:r>
      <w:r w:rsidDel="00000000" w:rsidR="00000000" w:rsidRPr="00000000">
        <w:rPr>
          <w:rtl w:val="0"/>
        </w:rPr>
        <w:br w:type="textWrapping"/>
        <w:br w:type="textWrapping"/>
        <w:t xml:space="preserve">How: Ensure that the Data Card is shareable across any format (PDF, Markdown) or storage (GitHub, sharable file in a cloud storage service) used by the Data Card.</w:t>
        <w:br w:type="textWrapping"/>
        <w:br w:type="textWrapping"/>
        <w:t xml:space="preserve">Your notes:</w:t>
        <w:br w:type="textWrapping"/>
      </w:r>
    </w:p>
    <w:p w:rsidR="00000000" w:rsidDel="00000000" w:rsidP="00000000" w:rsidRDefault="00000000" w:rsidRPr="00000000" w14:paraId="0000000E">
      <w:pPr>
        <w:widowControl w:val="0"/>
        <w:numPr>
          <w:ilvl w:val="0"/>
          <w:numId w:val="1"/>
        </w:numPr>
        <w:spacing w:after="200" w:before="0" w:lineRule="auto"/>
        <w:ind w:left="720" w:hanging="360"/>
        <w:rPr>
          <w:rFonts w:ascii="Roboto" w:cs="Roboto" w:eastAsia="Roboto" w:hAnsi="Roboto"/>
        </w:rPr>
      </w:pPr>
      <w:r w:rsidDel="00000000" w:rsidR="00000000" w:rsidRPr="00000000">
        <w:rPr>
          <w:b w:val="1"/>
          <w:rtl w:val="0"/>
        </w:rPr>
        <w:t xml:space="preserve">Feedback &amp; Recourse: </w:t>
      </w:r>
      <w:r w:rsidDel="00000000" w:rsidR="00000000" w:rsidRPr="00000000">
        <w:rPr>
          <w:rtl w:val="0"/>
        </w:rPr>
        <w:t xml:space="preserve">There is a clear path for readers to submit feedback, point out errors, suggest additions, ask questions, seek recourse or engage with producers as acceptable on or along with the Data Card.</w:t>
      </w:r>
      <w:r w:rsidDel="00000000" w:rsidR="00000000" w:rsidRPr="00000000">
        <w:rPr>
          <w:rtl w:val="0"/>
        </w:rPr>
        <w:br w:type="textWrapping"/>
        <w:br w:type="textWrapping"/>
        <w:t xml:space="preserve">How: Ensure that there is at least an email address, or a link to a portal, form, or feature request page that a reader can use in case they need to provide feedback – or for a data contributor to seek recourse or get their data removed.</w:t>
        <w:br w:type="textWrapping"/>
        <w:br w:type="textWrapping"/>
        <w:t xml:space="preserve">Your notes:</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0F">
      <w:pPr>
        <w:widowControl w:val="0"/>
        <w:spacing w:after="200" w:before="0" w:lineRule="auto"/>
        <w:ind w:left="0" w:firstLine="0"/>
        <w:rPr/>
      </w:pPr>
      <w:r w:rsidDel="00000000" w:rsidR="00000000" w:rsidRPr="00000000">
        <w:rPr>
          <w:rtl w:val="0"/>
        </w:rPr>
      </w:r>
    </w:p>
    <w:p w:rsidR="00000000" w:rsidDel="00000000" w:rsidP="00000000" w:rsidRDefault="00000000" w:rsidRPr="00000000" w14:paraId="00000010">
      <w:pPr>
        <w:widowControl w:val="0"/>
        <w:numPr>
          <w:ilvl w:val="0"/>
          <w:numId w:val="1"/>
        </w:numPr>
        <w:spacing w:after="200" w:before="0" w:lineRule="auto"/>
        <w:ind w:left="720" w:hanging="360"/>
        <w:rPr>
          <w:rFonts w:ascii="Roboto" w:cs="Roboto" w:eastAsia="Roboto" w:hAnsi="Roboto"/>
        </w:rPr>
      </w:pPr>
      <w:r w:rsidDel="00000000" w:rsidR="00000000" w:rsidRPr="00000000">
        <w:rPr>
          <w:b w:val="1"/>
          <w:rtl w:val="0"/>
        </w:rPr>
        <w:t xml:space="preserve">Future-proofed: </w:t>
      </w:r>
      <w:r w:rsidDel="00000000" w:rsidR="00000000" w:rsidRPr="00000000">
        <w:rPr>
          <w:rtl w:val="0"/>
        </w:rPr>
        <w:t xml:space="preserve">The Data Card has been implemented such that it can be meaningfully updated in the future when the dataset is updated, or more information is made available.</w:t>
      </w:r>
      <w:r w:rsidDel="00000000" w:rsidR="00000000" w:rsidRPr="00000000">
        <w:rPr>
          <w:rtl w:val="0"/>
        </w:rPr>
        <w:br w:type="textWrapping"/>
        <w:br w:type="textWrapping"/>
        <w:t xml:space="preserve">How: Include any maintenance plans in the Data Card itself, ideally in a dedicated section that reader can easily find. Update this regularly, and plan for alternative publishing methods if necessary.</w:t>
        <w:br w:type="textWrapping"/>
        <w:br w:type="textWrapping"/>
        <w:t xml:space="preserve">Your notes:</w:t>
        <w:br w:type="textWrapping"/>
        <w:br w:type="textWrapping"/>
      </w:r>
    </w:p>
    <w:p w:rsidR="00000000" w:rsidDel="00000000" w:rsidP="00000000" w:rsidRDefault="00000000" w:rsidRPr="00000000" w14:paraId="00000011">
      <w:pPr>
        <w:widowControl w:val="0"/>
        <w:numPr>
          <w:ilvl w:val="0"/>
          <w:numId w:val="1"/>
        </w:numPr>
        <w:spacing w:after="200" w:before="0" w:lineRule="auto"/>
        <w:ind w:left="720" w:hanging="360"/>
        <w:rPr>
          <w:rFonts w:ascii="Roboto" w:cs="Roboto" w:eastAsia="Roboto" w:hAnsi="Roboto"/>
        </w:rPr>
      </w:pPr>
      <w:r w:rsidDel="00000000" w:rsidR="00000000" w:rsidRPr="00000000">
        <w:rPr>
          <w:b w:val="1"/>
          <w:rtl w:val="0"/>
        </w:rPr>
        <w:t xml:space="preserve">Accessible: </w:t>
      </w:r>
      <w:r w:rsidDel="00000000" w:rsidR="00000000" w:rsidRPr="00000000">
        <w:rPr>
          <w:rtl w:val="0"/>
        </w:rPr>
        <w:t xml:space="preserve">The Data Card has been implemented in ways that make it accessible to people with disabilities and accords with accessibility principles.</w:t>
      </w:r>
      <w:r w:rsidDel="00000000" w:rsidR="00000000" w:rsidRPr="00000000">
        <w:rPr>
          <w:rtl w:val="0"/>
        </w:rPr>
        <w:br w:type="textWrapping"/>
        <w:br w:type="textWrapping"/>
        <w:t xml:space="preserve">How:  See </w:t>
      </w:r>
      <w:hyperlink r:id="rId9">
        <w:r w:rsidDel="00000000" w:rsidR="00000000" w:rsidRPr="00000000">
          <w:rPr>
            <w:color w:val="1155cc"/>
            <w:u w:val="single"/>
            <w:rtl w:val="0"/>
          </w:rPr>
          <w:t xml:space="preserve">Material Foundation - Accessibility</w:t>
        </w:r>
      </w:hyperlink>
      <w:r w:rsidDel="00000000" w:rsidR="00000000" w:rsidRPr="00000000">
        <w:rPr>
          <w:rtl w:val="0"/>
        </w:rPr>
        <w:t xml:space="preserve"> for a list of guiding principles to enhance the usability of your Data Card for all users.</w:t>
        <w:br w:type="textWrapping"/>
        <w:br w:type="textWrapping"/>
        <w:t xml:space="preserve">Your notes:</w:t>
        <w:br w:type="textWrapping"/>
        <w:br w:type="textWrapping"/>
      </w:r>
    </w:p>
    <w:p w:rsidR="00000000" w:rsidDel="00000000" w:rsidP="00000000" w:rsidRDefault="00000000" w:rsidRPr="00000000" w14:paraId="00000012">
      <w:pPr>
        <w:pageBreakBefore w:val="0"/>
        <w:widowControl w:val="0"/>
        <w:spacing w:after="200" w:before="0" w:line="288" w:lineRule="auto"/>
        <w:ind w:left="0" w:firstLine="0"/>
        <w:rPr/>
      </w:pPr>
      <w:r w:rsidDel="00000000" w:rsidR="00000000" w:rsidRPr="00000000">
        <w:rPr>
          <w:rtl w:val="0"/>
        </w:rPr>
      </w:r>
    </w:p>
    <w:p w:rsidR="00000000" w:rsidDel="00000000" w:rsidP="00000000" w:rsidRDefault="00000000" w:rsidRPr="00000000" w14:paraId="00000013">
      <w:pPr>
        <w:pageBreakBefore w:val="0"/>
        <w:widowControl w:val="0"/>
        <w:spacing w:after="320" w:before="160" w:line="288" w:lineRule="auto"/>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900"/>
        <w:tblGridChange w:id="0">
          <w:tblGrid>
            <w:gridCol w:w="2115"/>
            <w:gridCol w:w="6900"/>
          </w:tblGrid>
        </w:tblGridChange>
      </w:tblGrid>
      <w:tr>
        <w:trPr>
          <w:cantSplit w:val="1"/>
          <w:tblHeader w:val="0"/>
        </w:trPr>
        <w:tc>
          <w:tcPr>
            <w:tcBorders>
              <w:top w:color="cddcdc" w:space="0" w:sz="8" w:val="single"/>
              <w:left w:color="cddcdc" w:space="0" w:sz="8" w:val="single"/>
              <w:bottom w:color="cddcdc" w:space="0" w:sz="8" w:val="single"/>
              <w:right w:color="000000" w:space="0" w:sz="0" w:val="nil"/>
            </w:tcBorders>
            <w:shd w:fill="f1f7f7" w:val="clear"/>
            <w:tcMar>
              <w:top w:w="100.0" w:type="dxa"/>
              <w:left w:w="100.0" w:type="dxa"/>
              <w:bottom w:w="100.0" w:type="dxa"/>
              <w:right w:w="100.0" w:type="dxa"/>
            </w:tcMar>
          </w:tcPr>
          <w:p w:rsidR="00000000" w:rsidDel="00000000" w:rsidP="00000000" w:rsidRDefault="00000000" w:rsidRPr="00000000" w14:paraId="00000014">
            <w:pPr>
              <w:widowControl w:val="0"/>
              <w:rPr/>
            </w:pPr>
            <w:r w:rsidDel="00000000" w:rsidR="00000000" w:rsidRPr="00000000">
              <w:rPr/>
              <w:drawing>
                <wp:inline distB="114300" distT="114300" distL="114300" distR="114300">
                  <wp:extent cx="1157288" cy="409575"/>
                  <wp:effectExtent b="0" l="0" r="0" t="0"/>
                  <wp:docPr id="2" name="image4.png"/>
                  <a:graphic>
                    <a:graphicData uri="http://schemas.openxmlformats.org/drawingml/2006/picture">
                      <pic:pic>
                        <pic:nvPicPr>
                          <pic:cNvPr id="0" name="image4.png"/>
                          <pic:cNvPicPr preferRelativeResize="0"/>
                        </pic:nvPicPr>
                        <pic:blipFill>
                          <a:blip r:embed="rId10"/>
                          <a:srcRect b="0" l="569" r="569" t="0"/>
                          <a:stretch>
                            <a:fillRect/>
                          </a:stretch>
                        </pic:blipFill>
                        <pic:spPr>
                          <a:xfrm>
                            <a:off x="0" y="0"/>
                            <a:ext cx="1157288" cy="409575"/>
                          </a:xfrm>
                          <a:prstGeom prst="rect"/>
                          <a:ln/>
                        </pic:spPr>
                      </pic:pic>
                    </a:graphicData>
                  </a:graphic>
                </wp:inline>
              </w:drawing>
            </w:r>
            <w:r w:rsidDel="00000000" w:rsidR="00000000" w:rsidRPr="00000000">
              <w:rPr>
                <w:rtl w:val="0"/>
              </w:rPr>
            </w:r>
          </w:p>
        </w:tc>
        <w:tc>
          <w:tcPr>
            <w:tcBorders>
              <w:top w:color="cddcdc" w:space="0" w:sz="8" w:val="single"/>
              <w:left w:color="000000" w:space="0" w:sz="0" w:val="nil"/>
              <w:bottom w:color="cddcdc" w:space="0" w:sz="8" w:val="single"/>
              <w:right w:color="cddcdc" w:space="0" w:sz="8" w:val="single"/>
            </w:tcBorders>
            <w:shd w:fill="f1f7f7" w:val="clear"/>
            <w:tcMar>
              <w:top w:w="72.0" w:type="dxa"/>
              <w:left w:w="72.0" w:type="dxa"/>
              <w:bottom w:w="72.0" w:type="dxa"/>
              <w:right w:w="72.0" w:type="dxa"/>
            </w:tcMar>
          </w:tcPr>
          <w:p w:rsidR="00000000" w:rsidDel="00000000" w:rsidP="00000000" w:rsidRDefault="00000000" w:rsidRPr="00000000" w14:paraId="00000015">
            <w:pPr>
              <w:pageBreakBefore w:val="0"/>
              <w:widowControl w:val="0"/>
              <w:spacing w:after="0" w:line="326.4" w:lineRule="auto"/>
              <w:rPr>
                <w:rFonts w:ascii="Inter" w:cs="Inter" w:eastAsia="Inter" w:hAnsi="Inter"/>
                <w:color w:val="3c4043"/>
                <w:sz w:val="20"/>
                <w:szCs w:val="20"/>
              </w:rPr>
            </w:pPr>
            <w:r w:rsidDel="00000000" w:rsidR="00000000" w:rsidRPr="00000000">
              <w:rPr>
                <w:rFonts w:ascii="Inter" w:cs="Inter" w:eastAsia="Inter" w:hAnsi="Inter"/>
                <w:color w:val="3c4043"/>
                <w:sz w:val="20"/>
                <w:szCs w:val="20"/>
                <w:rtl w:val="0"/>
              </w:rPr>
              <w:t xml:space="preserve">The</w:t>
            </w:r>
            <w:r w:rsidDel="00000000" w:rsidR="00000000" w:rsidRPr="00000000">
              <w:rPr>
                <w:color w:val="3c4043"/>
                <w:sz w:val="20"/>
                <w:szCs w:val="20"/>
                <w:rtl w:val="0"/>
              </w:rPr>
              <w:t xml:space="preserve"> </w:t>
            </w:r>
            <w:hyperlink r:id="rId11">
              <w:r w:rsidDel="00000000" w:rsidR="00000000" w:rsidRPr="00000000">
                <w:rPr>
                  <w:rFonts w:ascii="Inter" w:cs="Inter" w:eastAsia="Inter" w:hAnsi="Inter"/>
                  <w:color w:val="8920e9"/>
                  <w:sz w:val="20"/>
                  <w:szCs w:val="20"/>
                  <w:u w:val="single"/>
                  <w:rtl w:val="0"/>
                </w:rPr>
                <w:t xml:space="preserve">Data Cards Playbook ↗</w:t>
              </w:r>
            </w:hyperlink>
            <w:r w:rsidDel="00000000" w:rsidR="00000000" w:rsidRPr="00000000">
              <w:rPr>
                <w:rFonts w:ascii="Inter" w:cs="Inter" w:eastAsia="Inter" w:hAnsi="Inter"/>
                <w:color w:val="3c4043"/>
                <w:sz w:val="20"/>
                <w:szCs w:val="20"/>
                <w:rtl w:val="0"/>
              </w:rPr>
              <w:t xml:space="preserve"> by Google Research is licensed under a Creative Commons Attribution-ShareAlike 4.0 International License.</w:t>
            </w:r>
          </w:p>
          <w:p w:rsidR="00000000" w:rsidDel="00000000" w:rsidP="00000000" w:rsidRDefault="00000000" w:rsidRPr="00000000" w14:paraId="00000016">
            <w:pPr>
              <w:pageBreakBefore w:val="0"/>
              <w:widowControl w:val="0"/>
              <w:spacing w:after="0" w:line="326.4" w:lineRule="auto"/>
              <w:rPr>
                <w:rFonts w:ascii="Inter" w:cs="Inter" w:eastAsia="Inter" w:hAnsi="Inter"/>
                <w:color w:val="8920e9"/>
                <w:sz w:val="20"/>
                <w:szCs w:val="20"/>
              </w:rPr>
            </w:pPr>
            <w:r w:rsidDel="00000000" w:rsidR="00000000" w:rsidRPr="00000000">
              <w:rPr>
                <w:rFonts w:ascii="Inter" w:cs="Inter" w:eastAsia="Inter" w:hAnsi="Inter"/>
                <w:color w:val="3c4043"/>
                <w:sz w:val="20"/>
                <w:szCs w:val="20"/>
                <w:rtl w:val="0"/>
              </w:rPr>
              <w:t xml:space="preserve">You are free to share and adapt this work under the </w:t>
            </w:r>
            <w:hyperlink r:id="rId12">
              <w:r w:rsidDel="00000000" w:rsidR="00000000" w:rsidRPr="00000000">
                <w:rPr>
                  <w:rFonts w:ascii="Inter" w:cs="Inter" w:eastAsia="Inter" w:hAnsi="Inter"/>
                  <w:color w:val="8920e9"/>
                  <w:sz w:val="20"/>
                  <w:szCs w:val="20"/>
                  <w:u w:val="single"/>
                  <w:rtl w:val="0"/>
                </w:rPr>
                <w:t xml:space="preserve">appropriate license terms ↗</w:t>
              </w:r>
            </w:hyperlink>
            <w:r w:rsidDel="00000000" w:rsidR="00000000" w:rsidRPr="00000000">
              <w:rPr>
                <w:rFonts w:ascii="Inter" w:cs="Inter" w:eastAsia="Inter" w:hAnsi="Inter"/>
                <w:color w:val="8920e9"/>
                <w:sz w:val="20"/>
                <w:szCs w:val="20"/>
                <w:rtl w:val="0"/>
              </w:rPr>
              <w:t xml:space="preserve">.</w:t>
            </w:r>
          </w:p>
        </w:tc>
      </w:tr>
    </w:tbl>
    <w:p w:rsidR="00000000" w:rsidDel="00000000" w:rsidP="00000000" w:rsidRDefault="00000000" w:rsidRPr="00000000" w14:paraId="00000017">
      <w:pPr>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080" w:top="1080" w:left="1080" w:right="1080" w:header="720" w:footer="10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w:embedRegular w:fontKey="{00000000-0000-0000-0000-000000000000}" r:id="rId13" w:subsetted="0"/>
    <w:embedBold w:fontKey="{00000000-0000-0000-0000-000000000000}" r:id="rId14" w:subsetted="0"/>
  </w:font>
  <w:font w:name="Google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Space Grotesk">
    <w:embedRegular w:fontKey="{00000000-0000-0000-0000-000000000000}" r:id="rId19" w:subsetted="0"/>
    <w:embedBold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spacing w:after="0" w:before="0" w:line="240" w:lineRule="auto"/>
      <w:rPr/>
    </w:pPr>
    <w:r w:rsidDel="00000000" w:rsidR="00000000" w:rsidRPr="00000000">
      <w:rPr>
        <w:sz w:val="16"/>
        <w:szCs w:val="16"/>
        <w:rtl w:val="0"/>
      </w:rPr>
      <w:tab/>
      <w:tab/>
      <w:tab/>
      <w:tab/>
      <w:tab/>
      <w:tab/>
      <w:tab/>
      <w:tab/>
      <w:tab/>
      <w:tab/>
    </w: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after="0" w:before="0" w:line="240" w:lineRule="auto"/>
            <w:rPr/>
          </w:pPr>
          <w:r w:rsidDel="00000000" w:rsidR="00000000" w:rsidRPr="00000000">
            <w:rPr/>
            <w:drawing>
              <wp:inline distB="114300" distT="114300" distL="114300" distR="114300">
                <wp:extent cx="591969" cy="602059"/>
                <wp:effectExtent b="0" l="0" r="0" t="0"/>
                <wp:docPr id="1" name="image1.png"/>
                <a:graphic>
                  <a:graphicData uri="http://schemas.openxmlformats.org/drawingml/2006/picture">
                    <pic:pic>
                      <pic:nvPicPr>
                        <pic:cNvPr id="0" name="image1.png"/>
                        <pic:cNvPicPr preferRelativeResize="0"/>
                      </pic:nvPicPr>
                      <pic:blipFill>
                        <a:blip r:embed="rId1"/>
                        <a:srcRect b="21312" l="22147" r="18791" t="19633"/>
                        <a:stretch>
                          <a:fillRect/>
                        </a:stretch>
                      </pic:blipFill>
                      <pic:spPr>
                        <a:xfrm>
                          <a:off x="0" y="0"/>
                          <a:ext cx="591969" cy="60205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after="0" w:before="0" w:line="240" w:lineRule="auto"/>
            <w:jc w:val="right"/>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1C">
    <w:pPr>
      <w:keepNext w:val="1"/>
      <w:keepLines w:val="1"/>
      <w:widowControl w:val="1"/>
      <w:spacing w:after="0" w:before="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w:cs="Inter" w:eastAsia="Inter" w:hAnsi="Inter"/>
        <w:color w:val="3c4f50"/>
        <w:sz w:val="22"/>
        <w:szCs w:val="22"/>
        <w:lang w:val="en"/>
      </w:rPr>
    </w:rPrDefault>
    <w:pPrDefault>
      <w:pPr>
        <w:spacing w:after="320" w:before="16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240" w:lineRule="auto"/>
    </w:pPr>
    <w:rPr>
      <w:rFonts w:ascii="Google Sans" w:cs="Google Sans" w:eastAsia="Google Sans" w:hAnsi="Google Sans"/>
      <w:sz w:val="32"/>
      <w:szCs w:val="32"/>
    </w:rPr>
  </w:style>
  <w:style w:type="paragraph" w:styleId="Heading3">
    <w:name w:val="heading 3"/>
    <w:basedOn w:val="Normal"/>
    <w:next w:val="Normal"/>
    <w:pPr>
      <w:keepNext w:val="1"/>
      <w:keepLines w:val="1"/>
    </w:pPr>
    <w:rPr>
      <w:rFonts w:ascii="Rubik Light" w:cs="Rubik Light" w:eastAsia="Rubik Light" w:hAnsi="Rubik Light"/>
      <w:color w:val="152d2e"/>
      <w:sz w:val="32"/>
      <w:szCs w:val="32"/>
    </w:rPr>
  </w:style>
  <w:style w:type="paragraph" w:styleId="Heading4">
    <w:name w:val="heading 4"/>
    <w:basedOn w:val="Normal"/>
    <w:next w:val="Normal"/>
    <w:pPr>
      <w:keepNext w:val="1"/>
      <w:keepLines w:val="1"/>
    </w:pPr>
    <w:rPr>
      <w:color w:val="152d2e"/>
      <w:sz w:val="24"/>
      <w:szCs w:val="24"/>
      <w:shd w:fill="ffecea" w:val="clear"/>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ubik Medium" w:cs="Rubik Medium" w:eastAsia="Rubik Medium" w:hAnsi="Rubik Medium"/>
      <w:color w:val="3c4043"/>
      <w:sz w:val="72"/>
      <w:szCs w:val="7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pair-code.github.io/datacardsplaybook"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yperlink" Target="https://creativecommons.org/licenses/by-sa/4.0/deed.a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terial.io/design/usability/accessibility.html#understanding-accessibility"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pair-code.github.io/datacardsplaybook"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SpaceGrotesk-bold.ttf"/><Relationship Id="rId11" Type="http://schemas.openxmlformats.org/officeDocument/2006/relationships/font" Target="fonts/Roboto-italic.ttf"/><Relationship Id="rId10" Type="http://schemas.openxmlformats.org/officeDocument/2006/relationships/font" Target="fonts/Roboto-bold.ttf"/><Relationship Id="rId13" Type="http://schemas.openxmlformats.org/officeDocument/2006/relationships/font" Target="fonts/Inter-regular.ttf"/><Relationship Id="rId12" Type="http://schemas.openxmlformats.org/officeDocument/2006/relationships/font" Target="fonts/Roboto-boldItalic.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Roboto-regular.ttf"/><Relationship Id="rId15" Type="http://schemas.openxmlformats.org/officeDocument/2006/relationships/font" Target="fonts/GoogleSans-regular.ttf"/><Relationship Id="rId14" Type="http://schemas.openxmlformats.org/officeDocument/2006/relationships/font" Target="fonts/Inter-bold.ttf"/><Relationship Id="rId17" Type="http://schemas.openxmlformats.org/officeDocument/2006/relationships/font" Target="fonts/GoogleSans-italic.ttf"/><Relationship Id="rId16" Type="http://schemas.openxmlformats.org/officeDocument/2006/relationships/font" Target="fonts/GoogleSans-bold.ttf"/><Relationship Id="rId5" Type="http://schemas.openxmlformats.org/officeDocument/2006/relationships/font" Target="fonts/RubikLight-regular.ttf"/><Relationship Id="rId19" Type="http://schemas.openxmlformats.org/officeDocument/2006/relationships/font" Target="fonts/SpaceGrotesk-regular.ttf"/><Relationship Id="rId6" Type="http://schemas.openxmlformats.org/officeDocument/2006/relationships/font" Target="fonts/RubikLight-bold.ttf"/><Relationship Id="rId18" Type="http://schemas.openxmlformats.org/officeDocument/2006/relationships/font" Target="fonts/GoogleSans-boldItalic.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