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right"/>
        <w:rPr>
          <w:color w:val="ff675c"/>
        </w:rPr>
      </w:pPr>
      <w:r w:rsidDel="00000000" w:rsidR="00000000" w:rsidRPr="00000000">
        <w:rPr>
          <w:rFonts w:ascii="Space Grotesk" w:cs="Space Grotesk" w:eastAsia="Space Grotesk" w:hAnsi="Space Grotesk"/>
          <w:color w:val="6f8d8e"/>
          <w:sz w:val="24"/>
          <w:szCs w:val="24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457200</wp:posOffset>
            </wp:positionH>
            <wp:positionV relativeFrom="page">
              <wp:posOffset>269557</wp:posOffset>
            </wp:positionV>
            <wp:extent cx="2438400" cy="914400"/>
            <wp:effectExtent b="0" l="0" r="0" t="0"/>
            <wp:wrapSquare wrapText="bothSides" distB="0" distT="0" distL="0" distR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21951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914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hyperlink r:id="rId7">
        <w:r w:rsidDel="00000000" w:rsidR="00000000" w:rsidRPr="00000000">
          <w:rPr>
            <w:color w:val="ff675c"/>
            <w:u w:val="single"/>
            <w:rtl w:val="0"/>
          </w:rPr>
          <w:t xml:space="preserve">pair-code.github.io/datacardsplaybook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Space Grotesk" w:cs="Space Grotesk" w:eastAsia="Space Grotesk" w:hAnsi="Space Grotesk"/>
          <w:color w:val="6f8d8e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spacing w:after="0" w:before="0" w:line="276" w:lineRule="auto"/>
        <w:rPr>
          <w:rFonts w:ascii="Space Grotesk" w:cs="Space Grotesk" w:eastAsia="Space Grotesk" w:hAnsi="Space Grotesk"/>
          <w:color w:val="7cbe0a"/>
          <w:sz w:val="24"/>
          <w:szCs w:val="24"/>
        </w:rPr>
      </w:pPr>
      <w:r w:rsidDel="00000000" w:rsidR="00000000" w:rsidRPr="00000000">
        <w:rPr>
          <w:rFonts w:ascii="Space Grotesk" w:cs="Space Grotesk" w:eastAsia="Space Grotesk" w:hAnsi="Space Grotesk"/>
          <w:color w:val="6f8d8e"/>
          <w:sz w:val="24"/>
          <w:szCs w:val="24"/>
          <w:rtl w:val="0"/>
        </w:rPr>
        <w:t xml:space="preserve">MODULE</w:t>
      </w:r>
      <w:r w:rsidDel="00000000" w:rsidR="00000000" w:rsidRPr="00000000">
        <w:rPr>
          <w:rFonts w:ascii="Space Grotesk" w:cs="Space Grotesk" w:eastAsia="Space Grotesk" w:hAnsi="Space Grotesk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Space Grotesk" w:cs="Space Grotesk" w:eastAsia="Space Grotesk" w:hAnsi="Space Grotesk"/>
          <w:color w:val="19b2ba"/>
          <w:sz w:val="24"/>
          <w:szCs w:val="24"/>
          <w:rtl w:val="0"/>
        </w:rPr>
        <w:t xml:space="preserve">ANSWER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Title"/>
        <w:pageBreakBefore w:val="0"/>
        <w:spacing w:before="200" w:lineRule="auto"/>
        <w:rPr/>
      </w:pPr>
      <w:bookmarkStart w:colFirst="0" w:colLast="0" w:name="_7q1rzrbgfp3m" w:id="0"/>
      <w:bookmarkEnd w:id="0"/>
      <w:r w:rsidDel="00000000" w:rsidR="00000000" w:rsidRPr="00000000">
        <w:rPr>
          <w:rtl w:val="0"/>
        </w:rPr>
        <w:t xml:space="preserve">Scenarios of Maturity Checklist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rPr>
          <w:color w:val="3c4f50"/>
          <w:sz w:val="40"/>
          <w:szCs w:val="40"/>
        </w:rPr>
      </w:pPr>
      <w:r w:rsidDel="00000000" w:rsidR="00000000" w:rsidRPr="00000000">
        <w:rPr>
          <w:color w:val="3c4f50"/>
          <w:sz w:val="40"/>
          <w:szCs w:val="40"/>
          <w:rtl w:val="0"/>
        </w:rPr>
        <w:t xml:space="preserve">Activity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color w:val="7c9192"/>
          <w:rtl w:val="0"/>
        </w:rPr>
        <w:t xml:space="preserve">Level: </w:t>
      </w:r>
      <w:r w:rsidDel="00000000" w:rsidR="00000000" w:rsidRPr="00000000">
        <w:rPr>
          <w:rtl w:val="0"/>
        </w:rPr>
        <w:tab/>
        <w:t xml:space="preserve">Basic</w:t>
        <w:br w:type="textWrapping"/>
      </w: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685800</wp:posOffset>
            </wp:positionH>
            <wp:positionV relativeFrom="page">
              <wp:posOffset>8915400</wp:posOffset>
            </wp:positionV>
            <wp:extent cx="1257627" cy="657138"/>
            <wp:effectExtent b="0" l="0" r="0" t="0"/>
            <wp:wrapSquare wrapText="bothSides" distB="114300" distT="114300" distL="114300" distR="11430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57627" cy="6571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color w:val="7c9192"/>
          <w:rtl w:val="0"/>
        </w:rPr>
        <w:t xml:space="preserve">Duration:</w:t>
      </w:r>
      <w:r w:rsidDel="00000000" w:rsidR="00000000" w:rsidRPr="00000000">
        <w:rPr>
          <w:rtl w:val="0"/>
        </w:rPr>
        <w:t xml:space="preserve">⏳️</w:t>
      </w:r>
      <w:r w:rsidDel="00000000" w:rsidR="00000000" w:rsidRPr="00000000">
        <w:rPr>
          <w:rtl w:val="0"/>
        </w:rPr>
      </w:r>
    </w:p>
    <w:tbl>
      <w:tblPr>
        <w:tblStyle w:val="Table1"/>
        <w:tblW w:w="1008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80"/>
        <w:tblGridChange w:id="0">
          <w:tblGrid>
            <w:gridCol w:w="10080"/>
          </w:tblGrid>
        </w:tblGridChange>
      </w:tblGrid>
      <w:tr>
        <w:trPr>
          <w:cantSplit w:val="0"/>
          <w:trHeight w:val="3060" w:hRule="atLeast"/>
          <w:tblHeader w:val="0"/>
        </w:trPr>
        <w:tc>
          <w:tcPr>
            <w:tcBorders>
              <w:top w:color="7c9192" w:space="0" w:sz="8" w:val="dotted"/>
              <w:left w:color="7c9192" w:space="0" w:sz="8" w:val="dotted"/>
              <w:bottom w:color="7c9192" w:space="0" w:sz="8" w:val="dotted"/>
              <w:right w:color="7c9192" w:space="0" w:sz="8" w:val="dotted"/>
            </w:tcBorders>
            <w:shd w:fill="f1f7f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pStyle w:val="Heading3"/>
              <w:pageBreakBefore w:val="0"/>
              <w:spacing w:after="320" w:before="320" w:line="288" w:lineRule="auto"/>
              <w:ind w:left="450" w:right="600" w:firstLine="0"/>
              <w:rPr>
                <w:sz w:val="30"/>
                <w:szCs w:val="30"/>
              </w:rPr>
            </w:pPr>
            <w:bookmarkStart w:colFirst="0" w:colLast="0" w:name="_tpu90f1vevb8" w:id="1"/>
            <w:bookmarkEnd w:id="1"/>
            <w:r w:rsidDel="00000000" w:rsidR="00000000" w:rsidRPr="00000000">
              <w:rPr>
                <w:sz w:val="30"/>
                <w:szCs w:val="30"/>
                <w:rtl w:val="0"/>
              </w:rPr>
              <w:t xml:space="preserve">Instructions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20" w:before="160" w:line="288" w:lineRule="auto"/>
              <w:ind w:left="450" w:right="60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Updates to a Data Card can look like both upstream and downstream additions, removals, or revisions. Use this checklist to think through and plan for a variety of scenarios which can prompt you to revisit your Data Card.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9">
      <w:pPr>
        <w:pStyle w:val="Heading3"/>
        <w:pageBreakBefore w:val="0"/>
        <w:widowControl w:val="0"/>
        <w:spacing w:after="0" w:before="160" w:line="288" w:lineRule="auto"/>
        <w:rPr/>
      </w:pPr>
      <w:bookmarkStart w:colFirst="0" w:colLast="0" w:name="_wkheblqcod94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Heading3"/>
        <w:pageBreakBefore w:val="0"/>
        <w:widowControl w:val="0"/>
        <w:spacing w:after="0" w:before="160" w:line="288" w:lineRule="auto"/>
        <w:rPr/>
      </w:pPr>
      <w:bookmarkStart w:colFirst="0" w:colLast="0" w:name="_8qjqjc9regaz" w:id="3"/>
      <w:bookmarkEnd w:id="3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Style w:val="Heading4"/>
        <w:rPr/>
      </w:pPr>
      <w:bookmarkStart w:colFirst="0" w:colLast="0" w:name="_tgw7k4lf7y46" w:id="4"/>
      <w:bookmarkEnd w:id="4"/>
      <w:r w:rsidDel="00000000" w:rsidR="00000000" w:rsidRPr="00000000">
        <w:rPr>
          <w:rtl w:val="0"/>
        </w:rPr>
        <w:t xml:space="preserve">Scenario Maturity Checklist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Develop a strategy to update your Data Card for each of the following scenarios: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A new feature or label is added to your dataset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Datapoints or features from your dataset need to be removed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A new analysis reveals a skew in your dataset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Surprising results are reported when:</w:t>
      </w:r>
    </w:p>
    <w:p w:rsidR="00000000" w:rsidDel="00000000" w:rsidP="00000000" w:rsidRDefault="00000000" w:rsidRPr="00000000" w14:paraId="00000011">
      <w:pPr>
        <w:numPr>
          <w:ilvl w:val="1"/>
          <w:numId w:val="1"/>
        </w:numPr>
        <w:ind w:left="1440" w:hanging="360"/>
      </w:pPr>
      <w:r w:rsidDel="00000000" w:rsidR="00000000" w:rsidRPr="00000000">
        <w:rPr>
          <w:rtl w:val="0"/>
        </w:rPr>
        <w:t xml:space="preserve">Your dataset is joined with another dataset </w:t>
      </w:r>
    </w:p>
    <w:p w:rsidR="00000000" w:rsidDel="00000000" w:rsidP="00000000" w:rsidRDefault="00000000" w:rsidRPr="00000000" w14:paraId="00000012">
      <w:pPr>
        <w:numPr>
          <w:ilvl w:val="1"/>
          <w:numId w:val="1"/>
        </w:numPr>
        <w:ind w:left="1440" w:hanging="360"/>
      </w:pPr>
      <w:r w:rsidDel="00000000" w:rsidR="00000000" w:rsidRPr="00000000">
        <w:rPr>
          <w:rtl w:val="0"/>
        </w:rPr>
        <w:t xml:space="preserve">Your dataset is used in a new domain 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A new version of your dataset is made available to the public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Changes to an upstream source that can significantly alter the contents of your dataset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Changes to the access, wipeout, or retention policies of your dataset 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widowControl w:val="0"/>
        <w:spacing w:after="320" w:before="160" w:line="288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tbl>
      <w:tblPr>
        <w:tblStyle w:val="Table2"/>
        <w:tblW w:w="901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115"/>
        <w:gridCol w:w="6900"/>
        <w:tblGridChange w:id="0">
          <w:tblGrid>
            <w:gridCol w:w="2115"/>
            <w:gridCol w:w="6900"/>
          </w:tblGrid>
        </w:tblGridChange>
      </w:tblGrid>
      <w:tr>
        <w:trPr>
          <w:cantSplit w:val="1"/>
          <w:tblHeader w:val="0"/>
        </w:trPr>
        <w:tc>
          <w:tcPr>
            <w:tcBorders>
              <w:top w:color="cddcdc" w:space="0" w:sz="8" w:val="single"/>
              <w:left w:color="cddcdc" w:space="0" w:sz="8" w:val="single"/>
              <w:bottom w:color="cddcdc" w:space="0" w:sz="8" w:val="single"/>
              <w:right w:color="000000" w:space="0" w:sz="0" w:val="nil"/>
            </w:tcBorders>
            <w:shd w:fill="f1f7f7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9">
            <w:pPr>
              <w:widowControl w:val="0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157288" cy="409575"/>
                  <wp:effectExtent b="0" l="0" r="0" t="0"/>
                  <wp:docPr id="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b="0" l="569" r="569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288" cy="4095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ddcdc" w:space="0" w:sz="8" w:val="single"/>
              <w:left w:color="000000" w:space="0" w:sz="0" w:val="nil"/>
              <w:bottom w:color="cddcdc" w:space="0" w:sz="8" w:val="single"/>
              <w:right w:color="cddcdc" w:space="0" w:sz="8" w:val="single"/>
            </w:tcBorders>
            <w:shd w:fill="f1f7f7" w:val="clear"/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1A">
            <w:pPr>
              <w:pageBreakBefore w:val="0"/>
              <w:widowControl w:val="0"/>
              <w:spacing w:after="0" w:line="326.4" w:lineRule="auto"/>
              <w:rPr>
                <w:rFonts w:ascii="Inter" w:cs="Inter" w:eastAsia="Inter" w:hAnsi="Inter"/>
                <w:color w:val="3c4043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3c4043"/>
                <w:sz w:val="20"/>
                <w:szCs w:val="20"/>
                <w:rtl w:val="0"/>
              </w:rPr>
              <w:t xml:space="preserve">The</w:t>
            </w:r>
            <w:r w:rsidDel="00000000" w:rsidR="00000000" w:rsidRPr="00000000">
              <w:rPr>
                <w:color w:val="3c4043"/>
                <w:sz w:val="20"/>
                <w:szCs w:val="20"/>
                <w:rtl w:val="0"/>
              </w:rPr>
              <w:t xml:space="preserve"> </w:t>
            </w:r>
            <w:hyperlink r:id="rId10">
              <w:r w:rsidDel="00000000" w:rsidR="00000000" w:rsidRPr="00000000">
                <w:rPr>
                  <w:rFonts w:ascii="Inter" w:cs="Inter" w:eastAsia="Inter" w:hAnsi="Inter"/>
                  <w:color w:val="8920e9"/>
                  <w:sz w:val="20"/>
                  <w:szCs w:val="20"/>
                  <w:u w:val="single"/>
                  <w:rtl w:val="0"/>
                </w:rPr>
                <w:t xml:space="preserve">Data Cards Playbook ↗</w:t>
              </w:r>
            </w:hyperlink>
            <w:r w:rsidDel="00000000" w:rsidR="00000000" w:rsidRPr="00000000">
              <w:rPr>
                <w:rFonts w:ascii="Inter" w:cs="Inter" w:eastAsia="Inter" w:hAnsi="Inter"/>
                <w:color w:val="3c4043"/>
                <w:sz w:val="20"/>
                <w:szCs w:val="20"/>
                <w:rtl w:val="0"/>
              </w:rPr>
              <w:t xml:space="preserve"> by Google Research is licensed under a Creative Commons Attribution-ShareAlike 4.0 International License.</w:t>
            </w:r>
          </w:p>
          <w:p w:rsidR="00000000" w:rsidDel="00000000" w:rsidP="00000000" w:rsidRDefault="00000000" w:rsidRPr="00000000" w14:paraId="0000001B">
            <w:pPr>
              <w:pageBreakBefore w:val="0"/>
              <w:widowControl w:val="0"/>
              <w:spacing w:after="0" w:line="326.4" w:lineRule="auto"/>
              <w:rPr>
                <w:rFonts w:ascii="Inter" w:cs="Inter" w:eastAsia="Inter" w:hAnsi="Inter"/>
                <w:color w:val="8920e9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3c4043"/>
                <w:sz w:val="20"/>
                <w:szCs w:val="20"/>
                <w:rtl w:val="0"/>
              </w:rPr>
              <w:t xml:space="preserve">You are free to share and adapt this work under the </w:t>
            </w:r>
            <w:hyperlink r:id="rId11">
              <w:r w:rsidDel="00000000" w:rsidR="00000000" w:rsidRPr="00000000">
                <w:rPr>
                  <w:rFonts w:ascii="Inter" w:cs="Inter" w:eastAsia="Inter" w:hAnsi="Inter"/>
                  <w:color w:val="8920e9"/>
                  <w:sz w:val="20"/>
                  <w:szCs w:val="20"/>
                  <w:u w:val="single"/>
                  <w:rtl w:val="0"/>
                </w:rPr>
                <w:t xml:space="preserve">appropriate license terms ↗</w:t>
              </w:r>
            </w:hyperlink>
            <w:r w:rsidDel="00000000" w:rsidR="00000000" w:rsidRPr="00000000">
              <w:rPr>
                <w:rFonts w:ascii="Inter" w:cs="Inter" w:eastAsia="Inter" w:hAnsi="Inter"/>
                <w:color w:val="8920e9"/>
                <w:sz w:val="20"/>
                <w:szCs w:val="20"/>
                <w:rtl w:val="0"/>
              </w:rPr>
              <w:t xml:space="preserve">.</w:t>
            </w:r>
          </w:p>
        </w:tc>
      </w:tr>
    </w:tbl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sectPr>
      <w:headerReference r:id="rId12" w:type="default"/>
      <w:headerReference r:id="rId13" w:type="first"/>
      <w:footerReference r:id="rId14" w:type="default"/>
      <w:footerReference r:id="rId15" w:type="first"/>
      <w:pgSz w:h="15840" w:w="12240" w:orient="portrait"/>
      <w:pgMar w:bottom="1080" w:top="1080" w:left="1080" w:right="1080" w:header="720" w:footer="108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ubik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ubik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Inter">
    <w:embedRegular w:fontKey="{00000000-0000-0000-0000-000000000000}" r:id="rId9" w:subsetted="0"/>
    <w:embedBold w:fontKey="{00000000-0000-0000-0000-000000000000}" r:id="rId10" w:subsetted="0"/>
  </w:font>
  <w:font w:name="Google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  <w:font w:name="Space Grotesk">
    <w:embedRegular w:fontKey="{00000000-0000-0000-0000-000000000000}" r:id="rId15" w:subsetted="0"/>
    <w:embedBold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E">
    <w:pPr>
      <w:spacing w:after="0" w:before="0" w:line="240" w:lineRule="auto"/>
      <w:rPr/>
    </w:pPr>
    <w:r w:rsidDel="00000000" w:rsidR="00000000" w:rsidRPr="00000000">
      <w:rPr>
        <w:sz w:val="16"/>
        <w:szCs w:val="16"/>
        <w:rtl w:val="0"/>
      </w:rPr>
      <w:tab/>
      <w:tab/>
      <w:tab/>
      <w:tab/>
      <w:tab/>
      <w:tab/>
      <w:tab/>
      <w:tab/>
      <w:tab/>
      <w:tab/>
    </w:r>
    <w:r w:rsidDel="00000000" w:rsidR="00000000" w:rsidRPr="00000000">
      <w:rPr>
        <w:rtl w:val="0"/>
      </w:rPr>
    </w:r>
  </w:p>
  <w:tbl>
    <w:tblPr>
      <w:tblStyle w:val="Table3"/>
      <w:tblW w:w="9360.0" w:type="dxa"/>
      <w:jc w:val="center"/>
      <w:tblBorders>
        <w:top w:color="000000" w:space="0" w:sz="8" w:val="single"/>
        <w:left w:color="000000" w:space="0" w:sz="8" w:val="single"/>
        <w:bottom w:color="000000" w:space="0" w:sz="8" w:val="single"/>
        <w:right w:color="000000" w:space="0" w:sz="8" w:val="single"/>
        <w:insideH w:color="000000" w:space="0" w:sz="8" w:val="single"/>
        <w:insideV w:color="000000" w:space="0" w:sz="8" w:val="single"/>
      </w:tblBorders>
      <w:tblLayout w:type="fixed"/>
      <w:tblLook w:val="0600"/>
    </w:tblPr>
    <w:tblGrid>
      <w:gridCol w:w="4680"/>
      <w:gridCol w:w="4680"/>
      <w:tblGridChange w:id="0">
        <w:tblGrid>
          <w:gridCol w:w="4680"/>
          <w:gridCol w:w="4680"/>
        </w:tblGrid>
      </w:tblGridChange>
    </w:tblGrid>
    <w:tr>
      <w:trPr>
        <w:cantSplit w:val="0"/>
        <w:tblHeader w:val="0"/>
      </w:trPr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center"/>
        </w:tcPr>
        <w:p w:rsidR="00000000" w:rsidDel="00000000" w:rsidP="00000000" w:rsidRDefault="00000000" w:rsidRPr="00000000" w14:paraId="0000001F">
          <w:pPr>
            <w:spacing w:after="0" w:before="0" w:line="240" w:lineRule="auto"/>
            <w:rPr/>
          </w:pPr>
          <w:r w:rsidDel="00000000" w:rsidR="00000000" w:rsidRPr="00000000">
            <w:rPr/>
            <w:drawing>
              <wp:inline distB="114300" distT="114300" distL="114300" distR="114300">
                <wp:extent cx="591969" cy="602059"/>
                <wp:effectExtent b="0" l="0" r="0" t="0"/>
                <wp:docPr id="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"/>
                        <a:srcRect b="21312" l="22147" r="18791" t="1963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1969" cy="602059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center"/>
        </w:tcPr>
        <w:p w:rsidR="00000000" w:rsidDel="00000000" w:rsidP="00000000" w:rsidRDefault="00000000" w:rsidRPr="00000000" w14:paraId="00000020">
          <w:pPr>
            <w:spacing w:after="0" w:before="0" w:line="240" w:lineRule="auto"/>
            <w:jc w:val="right"/>
            <w:rPr/>
          </w:pPr>
          <w:r w:rsidDel="00000000" w:rsidR="00000000" w:rsidRPr="00000000">
            <w:rPr>
              <w:sz w:val="20"/>
              <w:szCs w:val="20"/>
              <w:rtl w:val="0"/>
            </w:rPr>
            <w:t xml:space="preserve">Page </w:t>
          </w:r>
          <w:r w:rsidDel="00000000" w:rsidR="00000000" w:rsidRPr="00000000">
            <w:rPr>
              <w:sz w:val="20"/>
              <w:szCs w:val="20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sz w:val="20"/>
              <w:szCs w:val="20"/>
              <w:rtl w:val="0"/>
            </w:rPr>
            <w:t xml:space="preserve"> of </w:t>
          </w:r>
          <w:r w:rsidDel="00000000" w:rsidR="00000000" w:rsidRPr="00000000">
            <w:rPr>
              <w:sz w:val="20"/>
              <w:szCs w:val="20"/>
            </w:rPr>
            <w:fldChar w:fldCharType="begin"/>
            <w:instrText xml:space="preserve">NUMPAGES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21">
    <w:pPr>
      <w:keepNext w:val="1"/>
      <w:keepLines w:val="1"/>
      <w:widowControl w:val="1"/>
      <w:spacing w:after="0" w:before="0" w:line="240" w:lineRule="auto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3">
    <w:pPr>
      <w:ind w:left="7920" w:firstLine="720"/>
      <w:jc w:val="center"/>
      <w:rPr>
        <w:sz w:val="20"/>
        <w:szCs w:val="20"/>
      </w:rPr>
    </w:pPr>
    <w:r w:rsidDel="00000000" w:rsidR="00000000" w:rsidRPr="00000000">
      <w:rPr>
        <w:sz w:val="20"/>
        <w:szCs w:val="20"/>
        <w:rtl w:val="0"/>
      </w:rPr>
      <w:t xml:space="preserve">Page </w:t>
    </w:r>
    <w:r w:rsidDel="00000000" w:rsidR="00000000" w:rsidRPr="00000000">
      <w:rPr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sz w:val="20"/>
        <w:szCs w:val="20"/>
        <w:rtl w:val="0"/>
      </w:rPr>
      <w:t xml:space="preserve"> of </w:t>
    </w:r>
    <w:r w:rsidDel="00000000" w:rsidR="00000000" w:rsidRPr="00000000">
      <w:rPr>
        <w:sz w:val="20"/>
        <w:szCs w:val="20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D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2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Inter" w:cs="Inter" w:eastAsia="Inter" w:hAnsi="Inter"/>
        <w:color w:val="3c4f50"/>
        <w:sz w:val="22"/>
        <w:szCs w:val="22"/>
        <w:lang w:val="en"/>
      </w:rPr>
    </w:rPrDefault>
    <w:pPrDefault>
      <w:pPr>
        <w:spacing w:after="320" w:before="16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="240" w:lineRule="auto"/>
    </w:pPr>
    <w:rPr>
      <w:rFonts w:ascii="Google Sans" w:cs="Google Sans" w:eastAsia="Google Sans" w:hAnsi="Google Sans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</w:pPr>
    <w:rPr>
      <w:rFonts w:ascii="Rubik Light" w:cs="Rubik Light" w:eastAsia="Rubik Light" w:hAnsi="Rubik Light"/>
      <w:color w:val="152d2e"/>
      <w:sz w:val="32"/>
      <w:szCs w:val="32"/>
    </w:rPr>
  </w:style>
  <w:style w:type="paragraph" w:styleId="Heading4">
    <w:name w:val="heading 4"/>
    <w:basedOn w:val="Normal"/>
    <w:next w:val="Normal"/>
    <w:pPr>
      <w:keepNext w:val="1"/>
      <w:keepLines w:val="1"/>
    </w:pPr>
    <w:rPr>
      <w:color w:val="152d2e"/>
      <w:sz w:val="24"/>
      <w:szCs w:val="24"/>
      <w:shd w:fill="ffecea" w:val="clear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lineRule="auto"/>
    </w:pPr>
    <w:rPr>
      <w:rFonts w:ascii="Rubik Medium" w:cs="Rubik Medium" w:eastAsia="Rubik Medium" w:hAnsi="Rubik Medium"/>
      <w:color w:val="3c4043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creativecommons.org/licenses/by-sa/4.0/deed.ast" TargetMode="External"/><Relationship Id="rId10" Type="http://schemas.openxmlformats.org/officeDocument/2006/relationships/hyperlink" Target="http://pair-code.github.io/datacardsplaybook" TargetMode="External"/><Relationship Id="rId13" Type="http://schemas.openxmlformats.org/officeDocument/2006/relationships/header" Target="header2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footer" Target="footer2.xml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hyperlink" Target="http://pair-code.github.io/datacardsplaybook" TargetMode="External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GoogleSans-regular.ttf"/><Relationship Id="rId10" Type="http://schemas.openxmlformats.org/officeDocument/2006/relationships/font" Target="fonts/Inter-bold.ttf"/><Relationship Id="rId13" Type="http://schemas.openxmlformats.org/officeDocument/2006/relationships/font" Target="fonts/GoogleSans-italic.ttf"/><Relationship Id="rId12" Type="http://schemas.openxmlformats.org/officeDocument/2006/relationships/font" Target="fonts/GoogleSans-bold.ttf"/><Relationship Id="rId1" Type="http://schemas.openxmlformats.org/officeDocument/2006/relationships/font" Target="fonts/RubikMedium-regular.ttf"/><Relationship Id="rId2" Type="http://schemas.openxmlformats.org/officeDocument/2006/relationships/font" Target="fonts/RubikMedium-bold.ttf"/><Relationship Id="rId3" Type="http://schemas.openxmlformats.org/officeDocument/2006/relationships/font" Target="fonts/RubikMedium-italic.ttf"/><Relationship Id="rId4" Type="http://schemas.openxmlformats.org/officeDocument/2006/relationships/font" Target="fonts/RubikMedium-boldItalic.ttf"/><Relationship Id="rId9" Type="http://schemas.openxmlformats.org/officeDocument/2006/relationships/font" Target="fonts/Inter-regular.ttf"/><Relationship Id="rId15" Type="http://schemas.openxmlformats.org/officeDocument/2006/relationships/font" Target="fonts/SpaceGrotesk-regular.ttf"/><Relationship Id="rId14" Type="http://schemas.openxmlformats.org/officeDocument/2006/relationships/font" Target="fonts/GoogleSans-boldItalic.ttf"/><Relationship Id="rId16" Type="http://schemas.openxmlformats.org/officeDocument/2006/relationships/font" Target="fonts/SpaceGrotesk-bold.ttf"/><Relationship Id="rId5" Type="http://schemas.openxmlformats.org/officeDocument/2006/relationships/font" Target="fonts/RubikLight-regular.ttf"/><Relationship Id="rId6" Type="http://schemas.openxmlformats.org/officeDocument/2006/relationships/font" Target="fonts/RubikLight-bold.ttf"/><Relationship Id="rId7" Type="http://schemas.openxmlformats.org/officeDocument/2006/relationships/font" Target="fonts/RubikLight-italic.ttf"/><Relationship Id="rId8" Type="http://schemas.openxmlformats.org/officeDocument/2006/relationships/font" Target="fonts/RubikLigh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